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A6FB3" w14:textId="557CB332" w:rsidR="00D67D65" w:rsidRPr="004B0954" w:rsidRDefault="00DF24EC" w:rsidP="00D67D65">
      <w:pPr>
        <w:shd w:val="clear" w:color="auto" w:fill="FFFFFF"/>
        <w:spacing w:before="65" w:line="240" w:lineRule="auto"/>
        <w:ind w:left="98" w:right="98"/>
        <w:jc w:val="center"/>
        <w:rPr>
          <w:rFonts w:ascii="Times New Roman" w:hAnsi="Times New Roman"/>
          <w:b/>
        </w:rPr>
      </w:pPr>
      <w:r w:rsidRPr="004B0954">
        <w:tab/>
      </w:r>
      <w:r w:rsidR="00D67D65" w:rsidRPr="004B0954">
        <w:rPr>
          <w:rFonts w:ascii="Times New Roman" w:hAnsi="Times New Roman"/>
          <w:b/>
          <w:noProof/>
        </w:rPr>
        <w:drawing>
          <wp:inline distT="0" distB="0" distL="0" distR="0" wp14:anchorId="3F02BE47" wp14:editId="166255A7">
            <wp:extent cx="1541780" cy="102044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1780" cy="1020445"/>
                    </a:xfrm>
                    <a:prstGeom prst="rect">
                      <a:avLst/>
                    </a:prstGeom>
                    <a:noFill/>
                    <a:ln>
                      <a:noFill/>
                    </a:ln>
                  </pic:spPr>
                </pic:pic>
              </a:graphicData>
            </a:graphic>
          </wp:inline>
        </w:drawing>
      </w:r>
    </w:p>
    <w:p w14:paraId="2DAC11ED" w14:textId="77777777" w:rsidR="00D67D65" w:rsidRPr="004B0954" w:rsidRDefault="00D67D65" w:rsidP="00D67D65">
      <w:pPr>
        <w:shd w:val="clear" w:color="auto" w:fill="FFFFFF"/>
        <w:spacing w:before="65" w:line="240" w:lineRule="auto"/>
        <w:ind w:left="98" w:right="98"/>
        <w:jc w:val="center"/>
        <w:rPr>
          <w:rFonts w:ascii="Times New Roman" w:hAnsi="Times New Roman"/>
          <w:b/>
          <w:sz w:val="32"/>
          <w:szCs w:val="32"/>
        </w:rPr>
      </w:pPr>
    </w:p>
    <w:p w14:paraId="3D387A27" w14:textId="77777777" w:rsidR="00D67D65" w:rsidRPr="004B0954" w:rsidRDefault="00D67D65" w:rsidP="00D67D65">
      <w:pPr>
        <w:shd w:val="clear" w:color="auto" w:fill="FFFFFF"/>
        <w:spacing w:before="65" w:line="240" w:lineRule="auto"/>
        <w:ind w:left="98" w:right="98"/>
        <w:jc w:val="center"/>
        <w:rPr>
          <w:rFonts w:ascii="Times New Roman" w:hAnsi="Times New Roman"/>
          <w:b/>
          <w:sz w:val="32"/>
          <w:szCs w:val="32"/>
        </w:rPr>
      </w:pPr>
      <w:r w:rsidRPr="004B0954">
        <w:rPr>
          <w:rFonts w:ascii="Times New Roman" w:hAnsi="Times New Roman"/>
          <w:b/>
          <w:sz w:val="32"/>
          <w:szCs w:val="32"/>
        </w:rPr>
        <w:t>THE FEDERAL DEMOCRATIC REPUBLIC OF ETHIOPIA</w:t>
      </w:r>
    </w:p>
    <w:p w14:paraId="3AB307D4" w14:textId="77777777" w:rsidR="00D67D65" w:rsidRPr="004B0954" w:rsidRDefault="00D67D65" w:rsidP="00D67D65">
      <w:pPr>
        <w:shd w:val="clear" w:color="auto" w:fill="FFFFFF"/>
        <w:spacing w:line="240" w:lineRule="auto"/>
        <w:ind w:left="98" w:right="98"/>
        <w:jc w:val="center"/>
        <w:rPr>
          <w:rFonts w:ascii="Times New Roman" w:hAnsi="Times New Roman"/>
          <w:b/>
          <w:sz w:val="32"/>
          <w:szCs w:val="32"/>
        </w:rPr>
      </w:pPr>
      <w:r w:rsidRPr="004B0954">
        <w:rPr>
          <w:rFonts w:ascii="Times New Roman" w:hAnsi="Times New Roman"/>
          <w:b/>
          <w:sz w:val="32"/>
          <w:szCs w:val="32"/>
        </w:rPr>
        <w:t>MINISTRY OF AGRICULTURE (MoA)</w:t>
      </w:r>
    </w:p>
    <w:p w14:paraId="2D5EAC6A" w14:textId="77777777" w:rsidR="00DF24EC" w:rsidRPr="004B0954" w:rsidRDefault="00DF24EC" w:rsidP="009E49D6">
      <w:pPr>
        <w:pStyle w:val="ListParagraph"/>
      </w:pPr>
    </w:p>
    <w:p w14:paraId="24093294" w14:textId="77777777" w:rsidR="00DF24EC" w:rsidRPr="004B0954" w:rsidRDefault="00DF24EC" w:rsidP="00DF24EC">
      <w:pPr>
        <w:tabs>
          <w:tab w:val="left" w:pos="3152"/>
        </w:tabs>
        <w:jc w:val="both"/>
        <w:rPr>
          <w:rFonts w:ascii="Times New Roman" w:hAnsi="Times New Roman" w:cs="Times New Roman"/>
          <w:b/>
          <w:sz w:val="24"/>
          <w:szCs w:val="24"/>
        </w:rPr>
      </w:pPr>
    </w:p>
    <w:p w14:paraId="0FE629F7" w14:textId="77777777" w:rsidR="00DF24EC" w:rsidRPr="004B0954" w:rsidRDefault="00DF24EC" w:rsidP="00DF24EC">
      <w:pPr>
        <w:jc w:val="both"/>
        <w:rPr>
          <w:rFonts w:ascii="Times New Roman" w:hAnsi="Times New Roman" w:cs="Times New Roman"/>
          <w:b/>
          <w:sz w:val="24"/>
          <w:szCs w:val="24"/>
        </w:rPr>
      </w:pPr>
    </w:p>
    <w:p w14:paraId="1E025B9B" w14:textId="77777777" w:rsidR="00DF24EC" w:rsidRPr="004B0954" w:rsidRDefault="00DF24EC" w:rsidP="007C3EC6">
      <w:pPr>
        <w:spacing w:after="0"/>
        <w:ind w:right="65"/>
        <w:jc w:val="center"/>
        <w:rPr>
          <w:rFonts w:ascii="Times New Roman" w:hAnsi="Times New Roman" w:cs="Times New Roman"/>
          <w:b/>
          <w:sz w:val="24"/>
          <w:szCs w:val="24"/>
        </w:rPr>
      </w:pPr>
      <w:r w:rsidRPr="004B0954">
        <w:rPr>
          <w:rFonts w:ascii="Times New Roman" w:hAnsi="Times New Roman" w:cs="Times New Roman"/>
          <w:b/>
          <w:sz w:val="24"/>
          <w:szCs w:val="24"/>
        </w:rPr>
        <w:t>ETHIOPIA DESERT LOCUST RESPONSE PROJECT-P173702</w:t>
      </w:r>
    </w:p>
    <w:p w14:paraId="5B810D0B" w14:textId="77777777" w:rsidR="00DF24EC" w:rsidRPr="004B0954" w:rsidRDefault="00DF24EC" w:rsidP="00DF24EC">
      <w:pPr>
        <w:spacing w:after="0"/>
        <w:ind w:right="65"/>
        <w:jc w:val="center"/>
        <w:rPr>
          <w:rFonts w:ascii="Times New Roman" w:hAnsi="Times New Roman" w:cs="Times New Roman"/>
          <w:b/>
          <w:sz w:val="24"/>
          <w:szCs w:val="24"/>
        </w:rPr>
      </w:pPr>
    </w:p>
    <w:p w14:paraId="00DE40A2" w14:textId="77777777" w:rsidR="00DF24EC" w:rsidRPr="004B0954" w:rsidRDefault="00DF24EC" w:rsidP="00DF24EC">
      <w:pPr>
        <w:spacing w:after="0"/>
        <w:ind w:right="65"/>
        <w:jc w:val="center"/>
        <w:rPr>
          <w:rFonts w:ascii="Times New Roman" w:hAnsi="Times New Roman" w:cs="Times New Roman"/>
          <w:b/>
          <w:sz w:val="24"/>
          <w:szCs w:val="24"/>
        </w:rPr>
      </w:pPr>
    </w:p>
    <w:p w14:paraId="101DD1B0" w14:textId="77777777" w:rsidR="007C3EC6" w:rsidRPr="004B0954" w:rsidRDefault="007C3EC6" w:rsidP="00DF24EC">
      <w:pPr>
        <w:spacing w:after="0"/>
        <w:ind w:right="65"/>
        <w:jc w:val="center"/>
        <w:rPr>
          <w:rFonts w:ascii="Times New Roman" w:hAnsi="Times New Roman" w:cs="Times New Roman"/>
          <w:b/>
          <w:sz w:val="24"/>
          <w:szCs w:val="24"/>
        </w:rPr>
      </w:pPr>
    </w:p>
    <w:p w14:paraId="6302147E" w14:textId="77777777" w:rsidR="007C3EC6" w:rsidRPr="004B0954" w:rsidRDefault="007C3EC6" w:rsidP="00DF24EC">
      <w:pPr>
        <w:spacing w:after="0"/>
        <w:ind w:right="65"/>
        <w:jc w:val="center"/>
        <w:rPr>
          <w:rFonts w:ascii="Times New Roman" w:hAnsi="Times New Roman" w:cs="Times New Roman"/>
          <w:b/>
          <w:sz w:val="24"/>
          <w:szCs w:val="24"/>
        </w:rPr>
      </w:pPr>
    </w:p>
    <w:p w14:paraId="61D91185" w14:textId="77777777" w:rsidR="007C3EC6" w:rsidRPr="004B0954" w:rsidRDefault="007C3EC6" w:rsidP="00DF24EC">
      <w:pPr>
        <w:spacing w:after="0"/>
        <w:ind w:right="65"/>
        <w:jc w:val="center"/>
        <w:rPr>
          <w:rFonts w:ascii="Times New Roman" w:hAnsi="Times New Roman" w:cs="Times New Roman"/>
          <w:b/>
          <w:sz w:val="24"/>
          <w:szCs w:val="24"/>
        </w:rPr>
      </w:pPr>
    </w:p>
    <w:p w14:paraId="5F81FCCC" w14:textId="77777777" w:rsidR="007C3EC6" w:rsidRPr="004B0954" w:rsidRDefault="007C3EC6" w:rsidP="00DF24EC">
      <w:pPr>
        <w:spacing w:after="0"/>
        <w:ind w:right="65"/>
        <w:jc w:val="center"/>
        <w:rPr>
          <w:rFonts w:ascii="Times New Roman" w:hAnsi="Times New Roman" w:cs="Times New Roman"/>
          <w:b/>
          <w:sz w:val="24"/>
          <w:szCs w:val="24"/>
        </w:rPr>
      </w:pPr>
    </w:p>
    <w:sdt>
      <w:sdtPr>
        <w:rPr>
          <w:rFonts w:ascii="Times New Roman" w:hAnsi="Times New Roman" w:cs="Times New Roman"/>
          <w:b/>
          <w:sz w:val="24"/>
          <w:szCs w:val="24"/>
        </w:rPr>
        <w:alias w:val="Subtitle"/>
        <w:tag w:val=""/>
        <w:id w:val="328029620"/>
        <w:placeholder>
          <w:docPart w:val="BEA935E1B49B4302B7ACDDEDE525CEFF"/>
        </w:placeholder>
        <w:dataBinding w:prefixMappings="xmlns:ns0='http://purl.org/dc/elements/1.1/' xmlns:ns1='http://schemas.openxmlformats.org/package/2006/metadata/core-properties' " w:xpath="/ns1:coreProperties[1]/ns0:subject[1]" w:storeItemID="{6C3C8BC8-F283-45AE-878A-BAB7291924A1}"/>
        <w:text/>
      </w:sdtPr>
      <w:sdtEndPr/>
      <w:sdtContent>
        <w:p w14:paraId="69622DF6" w14:textId="0E309728" w:rsidR="00DF24EC" w:rsidRPr="004B0954" w:rsidRDefault="007C3EC6" w:rsidP="00DF24EC">
          <w:pPr>
            <w:pStyle w:val="NoSpacing"/>
            <w:jc w:val="center"/>
            <w:rPr>
              <w:rFonts w:ascii="Times New Roman" w:hAnsi="Times New Roman" w:cs="Times New Roman"/>
              <w:sz w:val="24"/>
              <w:szCs w:val="24"/>
            </w:rPr>
          </w:pPr>
          <w:r w:rsidRPr="004B0954">
            <w:rPr>
              <w:rFonts w:ascii="Times New Roman" w:hAnsi="Times New Roman" w:cs="Times New Roman"/>
              <w:b/>
              <w:sz w:val="24"/>
              <w:szCs w:val="24"/>
            </w:rPr>
            <w:t>SEXUAL EXPLOITATION AND ABUSE (SEA)/SEXUAL HARASSMENT (SH) PREVENTION AND RESPONSE PLAN</w:t>
          </w:r>
        </w:p>
      </w:sdtContent>
    </w:sdt>
    <w:p w14:paraId="768A2F86" w14:textId="0AC50F21" w:rsidR="00DF24EC" w:rsidRPr="004B0954" w:rsidRDefault="007C3EC6" w:rsidP="007C3EC6">
      <w:pPr>
        <w:pStyle w:val="NoSpacing"/>
        <w:tabs>
          <w:tab w:val="left" w:pos="3690"/>
        </w:tabs>
        <w:spacing w:before="480"/>
        <w:rPr>
          <w:rFonts w:ascii="Times New Roman" w:hAnsi="Times New Roman" w:cs="Times New Roman"/>
          <w:b/>
          <w:sz w:val="24"/>
          <w:szCs w:val="24"/>
        </w:rPr>
      </w:pPr>
      <w:r w:rsidRPr="004B0954">
        <w:rPr>
          <w:rFonts w:ascii="Times New Roman" w:hAnsi="Times New Roman" w:cs="Times New Roman"/>
          <w:b/>
          <w:sz w:val="24"/>
          <w:szCs w:val="24"/>
        </w:rPr>
        <w:tab/>
      </w:r>
    </w:p>
    <w:p w14:paraId="18CC0404" w14:textId="77777777" w:rsidR="007C3EC6" w:rsidRPr="004B0954" w:rsidRDefault="007C3EC6" w:rsidP="007C3EC6">
      <w:pPr>
        <w:pStyle w:val="NoSpacing"/>
        <w:tabs>
          <w:tab w:val="left" w:pos="3690"/>
        </w:tabs>
        <w:spacing w:before="480"/>
        <w:rPr>
          <w:rFonts w:ascii="Times New Roman" w:hAnsi="Times New Roman" w:cs="Times New Roman"/>
          <w:b/>
          <w:sz w:val="24"/>
          <w:szCs w:val="24"/>
        </w:rPr>
      </w:pPr>
    </w:p>
    <w:p w14:paraId="2E4E2855" w14:textId="77777777" w:rsidR="00DF24EC" w:rsidRPr="004B0954" w:rsidRDefault="00DF24EC" w:rsidP="00DF24EC">
      <w:pPr>
        <w:jc w:val="both"/>
        <w:rPr>
          <w:rFonts w:ascii="Times New Roman" w:hAnsi="Times New Roman" w:cs="Times New Roman"/>
          <w:b/>
          <w:sz w:val="24"/>
          <w:szCs w:val="24"/>
        </w:rPr>
      </w:pPr>
    </w:p>
    <w:p w14:paraId="076E1A13" w14:textId="54CE79A7" w:rsidR="00DF24EC" w:rsidRPr="004B0954" w:rsidRDefault="007C3EC6" w:rsidP="007C3EC6">
      <w:pPr>
        <w:tabs>
          <w:tab w:val="left" w:pos="2085"/>
        </w:tabs>
        <w:jc w:val="both"/>
        <w:rPr>
          <w:rFonts w:ascii="Times New Roman" w:hAnsi="Times New Roman" w:cs="Times New Roman"/>
          <w:b/>
          <w:sz w:val="24"/>
          <w:szCs w:val="24"/>
        </w:rPr>
      </w:pPr>
      <w:r w:rsidRPr="004B0954">
        <w:rPr>
          <w:rFonts w:ascii="Times New Roman" w:hAnsi="Times New Roman" w:cs="Times New Roman"/>
          <w:b/>
          <w:sz w:val="24"/>
          <w:szCs w:val="24"/>
        </w:rPr>
        <w:tab/>
        <w:t>UPDATES MADE FOR THE ADDITIONAL FINANCE (AF)</w:t>
      </w:r>
    </w:p>
    <w:p w14:paraId="25EB1289" w14:textId="77777777" w:rsidR="00DF24EC" w:rsidRPr="004B0954" w:rsidRDefault="00DF24EC" w:rsidP="00DF24EC">
      <w:pPr>
        <w:jc w:val="both"/>
        <w:rPr>
          <w:rFonts w:ascii="Times New Roman" w:hAnsi="Times New Roman" w:cs="Times New Roman"/>
          <w:b/>
          <w:sz w:val="24"/>
          <w:szCs w:val="24"/>
        </w:rPr>
      </w:pPr>
    </w:p>
    <w:p w14:paraId="1127B149" w14:textId="77777777" w:rsidR="007C3EC6" w:rsidRPr="004B0954" w:rsidRDefault="007C3EC6" w:rsidP="00DF24EC">
      <w:pPr>
        <w:tabs>
          <w:tab w:val="left" w:pos="7377"/>
        </w:tabs>
        <w:jc w:val="both"/>
        <w:rPr>
          <w:rFonts w:ascii="Times New Roman" w:hAnsi="Times New Roman" w:cs="Times New Roman"/>
          <w:b/>
          <w:sz w:val="24"/>
          <w:szCs w:val="24"/>
        </w:rPr>
      </w:pPr>
    </w:p>
    <w:p w14:paraId="3AC90B25" w14:textId="77777777" w:rsidR="007C3EC6" w:rsidRPr="004B0954" w:rsidRDefault="007C3EC6" w:rsidP="00DF24EC">
      <w:pPr>
        <w:tabs>
          <w:tab w:val="left" w:pos="7377"/>
        </w:tabs>
        <w:jc w:val="both"/>
        <w:rPr>
          <w:rFonts w:ascii="Times New Roman" w:hAnsi="Times New Roman" w:cs="Times New Roman"/>
          <w:b/>
          <w:sz w:val="24"/>
          <w:szCs w:val="24"/>
        </w:rPr>
      </w:pPr>
    </w:p>
    <w:p w14:paraId="0D977F59" w14:textId="77777777" w:rsidR="007C3EC6" w:rsidRPr="004B0954" w:rsidRDefault="007C3EC6" w:rsidP="00DF24EC">
      <w:pPr>
        <w:tabs>
          <w:tab w:val="left" w:pos="7377"/>
        </w:tabs>
        <w:jc w:val="both"/>
        <w:rPr>
          <w:rFonts w:ascii="Times New Roman" w:hAnsi="Times New Roman" w:cs="Times New Roman"/>
          <w:b/>
          <w:sz w:val="24"/>
          <w:szCs w:val="24"/>
        </w:rPr>
      </w:pPr>
    </w:p>
    <w:sdt>
      <w:sdtPr>
        <w:rPr>
          <w:rFonts w:ascii="Times New Roman" w:hAnsi="Times New Roman" w:cs="Times New Roman"/>
          <w:b/>
          <w:bCs/>
          <w:caps/>
          <w:sz w:val="32"/>
          <w:szCs w:val="32"/>
        </w:rPr>
        <w:alias w:val="Date"/>
        <w:tag w:val=""/>
        <w:id w:val="197127006"/>
        <w:dataBinding w:prefixMappings="xmlns:ns0='http://schemas.microsoft.com/office/2006/coverPageProps' " w:xpath="/ns0:CoverPageProperties[1]/ns0:PublishDate[1]" w:storeItemID="{55AF091B-3C7A-41E3-B477-F2FDAA23CFDA}"/>
        <w:date w:fullDate="2020-05-01T00:00:00Z">
          <w:dateFormat w:val="MMMM d, yyyy"/>
          <w:lid w:val="en-US"/>
          <w:storeMappedDataAs w:val="dateTime"/>
          <w:calendar w:val="gregorian"/>
        </w:date>
      </w:sdtPr>
      <w:sdtEndPr/>
      <w:sdtContent>
        <w:p w14:paraId="57A3420A" w14:textId="4D097E38" w:rsidR="00DF24EC" w:rsidRPr="004B0954" w:rsidRDefault="007C3EC6" w:rsidP="007C3EC6">
          <w:pPr>
            <w:pStyle w:val="NoSpacing"/>
            <w:spacing w:after="40"/>
            <w:jc w:val="right"/>
            <w:rPr>
              <w:rFonts w:ascii="Times New Roman" w:hAnsi="Times New Roman" w:cs="Times New Roman"/>
              <w:b/>
              <w:bCs/>
              <w:caps/>
              <w:sz w:val="32"/>
              <w:szCs w:val="32"/>
            </w:rPr>
          </w:pPr>
          <w:r w:rsidRPr="004B0954">
            <w:rPr>
              <w:rFonts w:ascii="Times New Roman" w:hAnsi="Times New Roman" w:cs="Times New Roman"/>
              <w:b/>
              <w:bCs/>
              <w:caps/>
              <w:sz w:val="32"/>
              <w:szCs w:val="32"/>
            </w:rPr>
            <w:t>May 1, 2020</w:t>
          </w:r>
        </w:p>
      </w:sdtContent>
    </w:sdt>
    <w:p w14:paraId="251AFEA4" w14:textId="3FF09D43" w:rsidR="00DF24EC" w:rsidRPr="004B0954" w:rsidRDefault="0001669A" w:rsidP="007C3EC6">
      <w:pPr>
        <w:pStyle w:val="NoSpacing"/>
        <w:jc w:val="right"/>
        <w:rPr>
          <w:rFonts w:ascii="Times New Roman" w:hAnsi="Times New Roman" w:cs="Times New Roman"/>
          <w:b/>
          <w:bCs/>
          <w:sz w:val="46"/>
          <w:szCs w:val="46"/>
        </w:rPr>
      </w:pPr>
      <w:sdt>
        <w:sdtPr>
          <w:rPr>
            <w:rFonts w:ascii="Times New Roman" w:hAnsi="Times New Roman" w:cs="Times New Roman"/>
            <w:b/>
            <w:bCs/>
            <w:sz w:val="32"/>
            <w:szCs w:val="32"/>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DF24EC" w:rsidRPr="004B0954">
            <w:rPr>
              <w:rFonts w:ascii="Times New Roman" w:hAnsi="Times New Roman" w:cs="Times New Roman"/>
              <w:b/>
              <w:bCs/>
              <w:sz w:val="32"/>
              <w:szCs w:val="32"/>
            </w:rPr>
            <w:t xml:space="preserve">     </w:t>
          </w:r>
        </w:sdtContent>
      </w:sdt>
      <w:r w:rsidR="007C3EC6" w:rsidRPr="004B0954">
        <w:rPr>
          <w:rFonts w:ascii="Times New Roman" w:hAnsi="Times New Roman" w:cs="Times New Roman"/>
          <w:b/>
          <w:bCs/>
          <w:sz w:val="32"/>
          <w:szCs w:val="32"/>
        </w:rPr>
        <w:t>Addis Ababa, Ethiopia</w:t>
      </w:r>
    </w:p>
    <w:p w14:paraId="17A79945" w14:textId="77777777" w:rsidR="00DF24EC" w:rsidRPr="004B0954" w:rsidRDefault="00DF24EC" w:rsidP="00DF24EC">
      <w:pPr>
        <w:jc w:val="both"/>
        <w:rPr>
          <w:rFonts w:ascii="Times New Roman" w:hAnsi="Times New Roman" w:cs="Times New Roman"/>
          <w:b/>
          <w:sz w:val="32"/>
          <w:szCs w:val="32"/>
        </w:rPr>
      </w:pPr>
    </w:p>
    <w:p w14:paraId="13AFAEAE" w14:textId="77777777" w:rsidR="00DF24EC" w:rsidRPr="004B0954" w:rsidRDefault="00DF24EC" w:rsidP="00DF24EC">
      <w:pPr>
        <w:jc w:val="both"/>
        <w:rPr>
          <w:rFonts w:ascii="Times New Roman" w:hAnsi="Times New Roman" w:cs="Times New Roman"/>
          <w:b/>
          <w:sz w:val="24"/>
          <w:szCs w:val="24"/>
        </w:rPr>
      </w:pPr>
    </w:p>
    <w:p w14:paraId="55CD0F0B" w14:textId="77777777" w:rsidR="00DF24EC" w:rsidRPr="004B0954" w:rsidRDefault="00DF24EC" w:rsidP="00DF24EC">
      <w:pPr>
        <w:jc w:val="both"/>
        <w:rPr>
          <w:rFonts w:ascii="Times New Roman" w:hAnsi="Times New Roman" w:cs="Times New Roman"/>
          <w:b/>
          <w:sz w:val="24"/>
          <w:szCs w:val="24"/>
        </w:rPr>
      </w:pPr>
    </w:p>
    <w:p w14:paraId="36C6FDED" w14:textId="77777777" w:rsidR="00DF24EC" w:rsidRPr="004B0954" w:rsidRDefault="00DF24EC">
      <w:pPr>
        <w:rPr>
          <w:rFonts w:ascii="Times New Roman" w:hAnsi="Times New Roman" w:cs="Times New Roman"/>
        </w:rPr>
      </w:pPr>
    </w:p>
    <w:p w14:paraId="0B083A47" w14:textId="77777777" w:rsidR="00DF24EC" w:rsidRPr="004B0954" w:rsidRDefault="00DF24EC" w:rsidP="00DF24EC">
      <w:pPr>
        <w:jc w:val="both"/>
        <w:rPr>
          <w:rFonts w:ascii="Times New Roman" w:hAnsi="Times New Roman" w:cs="Times New Roman"/>
          <w:b/>
          <w:sz w:val="24"/>
          <w:szCs w:val="24"/>
        </w:rPr>
      </w:pPr>
    </w:p>
    <w:p w14:paraId="0CCE10DD" w14:textId="77777777" w:rsidR="00A467BA" w:rsidRPr="004B0954" w:rsidRDefault="00A467BA" w:rsidP="00A467BA">
      <w:pPr>
        <w:spacing w:after="0"/>
        <w:ind w:right="65"/>
        <w:jc w:val="center"/>
        <w:rPr>
          <w:rFonts w:ascii="Times New Roman" w:hAnsi="Times New Roman" w:cs="Times New Roman"/>
          <w:sz w:val="30"/>
          <w:szCs w:val="30"/>
        </w:rPr>
      </w:pPr>
      <w:r w:rsidRPr="004B0954">
        <w:rPr>
          <w:rFonts w:ascii="Times New Roman" w:hAnsi="Times New Roman" w:cs="Times New Roman"/>
          <w:b/>
          <w:sz w:val="30"/>
          <w:szCs w:val="30"/>
        </w:rPr>
        <w:tab/>
      </w:r>
      <w:r w:rsidRPr="004B0954">
        <w:rPr>
          <w:rFonts w:ascii="Times New Roman" w:hAnsi="Times New Roman" w:cs="Times New Roman"/>
          <w:sz w:val="30"/>
          <w:szCs w:val="30"/>
        </w:rPr>
        <w:t xml:space="preserve">ETHIOPIA DESERT LOCUST RESPONSE PROJECT-P173702 </w:t>
      </w:r>
    </w:p>
    <w:p w14:paraId="5869AAD3" w14:textId="77777777" w:rsidR="00A467BA" w:rsidRPr="004B0954" w:rsidRDefault="0001669A" w:rsidP="00A467BA">
      <w:pPr>
        <w:pStyle w:val="Header"/>
        <w:tabs>
          <w:tab w:val="clear" w:pos="4680"/>
          <w:tab w:val="clear" w:pos="9360"/>
          <w:tab w:val="left" w:pos="2133"/>
          <w:tab w:val="left" w:pos="2785"/>
        </w:tabs>
        <w:jc w:val="center"/>
        <w:rPr>
          <w:sz w:val="30"/>
          <w:szCs w:val="30"/>
        </w:rPr>
      </w:pPr>
      <w:sdt>
        <w:sdtPr>
          <w:rPr>
            <w:rFonts w:ascii="Times New Roman" w:eastAsiaTheme="majorEastAsia" w:hAnsi="Times New Roman" w:cs="Times New Roman"/>
            <w:sz w:val="30"/>
            <w:szCs w:val="30"/>
          </w:rPr>
          <w:alias w:val="Subtitle"/>
          <w:tag w:val=""/>
          <w:id w:val="256722540"/>
          <w:dataBinding w:prefixMappings="xmlns:ns0='http://purl.org/dc/elements/1.1/' xmlns:ns1='http://schemas.openxmlformats.org/package/2006/metadata/core-properties' " w:xpath="/ns1:coreProperties[1]/ns0:subject[1]" w:storeItemID="{6C3C8BC8-F283-45AE-878A-BAB7291924A1}"/>
          <w:text/>
        </w:sdtPr>
        <w:sdtEndPr/>
        <w:sdtContent>
          <w:r w:rsidR="00A467BA" w:rsidRPr="004B0954">
            <w:rPr>
              <w:rFonts w:ascii="Times New Roman" w:eastAsiaTheme="majorEastAsia" w:hAnsi="Times New Roman" w:cs="Times New Roman"/>
              <w:sz w:val="30"/>
              <w:szCs w:val="30"/>
            </w:rPr>
            <w:t>SEXUAL EXPLOITATION AND ABUSE (SEA)/SEXUAL HARASSMENT (SH) PREVENTION AND RESPONSE PLAN</w:t>
          </w:r>
        </w:sdtContent>
      </w:sdt>
    </w:p>
    <w:p w14:paraId="55B06CB7" w14:textId="635C6672" w:rsidR="00DF24EC" w:rsidRPr="004B0954" w:rsidRDefault="00DF24EC" w:rsidP="00A467BA">
      <w:pPr>
        <w:tabs>
          <w:tab w:val="left" w:pos="1545"/>
        </w:tabs>
        <w:jc w:val="both"/>
        <w:rPr>
          <w:rFonts w:ascii="Times New Roman" w:hAnsi="Times New Roman" w:cs="Times New Roman"/>
          <w:b/>
          <w:sz w:val="24"/>
          <w:szCs w:val="24"/>
        </w:rPr>
      </w:pPr>
    </w:p>
    <w:p w14:paraId="6C4787C9" w14:textId="77777777" w:rsidR="00DF24EC" w:rsidRPr="004B0954" w:rsidRDefault="00DF24EC" w:rsidP="00DF24EC">
      <w:pPr>
        <w:jc w:val="both"/>
        <w:rPr>
          <w:rFonts w:ascii="Times New Roman" w:hAnsi="Times New Roman" w:cs="Times New Roman"/>
          <w:b/>
          <w:sz w:val="24"/>
          <w:szCs w:val="24"/>
        </w:rPr>
      </w:pPr>
    </w:p>
    <w:p w14:paraId="0F312C06" w14:textId="77777777" w:rsidR="00DF24EC" w:rsidRPr="004B0954" w:rsidRDefault="00DF24EC" w:rsidP="00DF24EC">
      <w:pPr>
        <w:jc w:val="both"/>
        <w:rPr>
          <w:rFonts w:ascii="Times New Roman" w:hAnsi="Times New Roman" w:cs="Times New Roman"/>
          <w:b/>
          <w:sz w:val="24"/>
          <w:szCs w:val="24"/>
        </w:rPr>
      </w:pPr>
    </w:p>
    <w:p w14:paraId="6C729B59" w14:textId="72E1B370" w:rsidR="00DF24EC" w:rsidRPr="004B0954" w:rsidRDefault="00A467BA" w:rsidP="00A467BA">
      <w:pPr>
        <w:tabs>
          <w:tab w:val="left" w:pos="5190"/>
        </w:tabs>
        <w:jc w:val="center"/>
        <w:rPr>
          <w:rFonts w:ascii="Times New Roman" w:hAnsi="Times New Roman" w:cs="Times New Roman"/>
          <w:b/>
          <w:sz w:val="32"/>
          <w:szCs w:val="32"/>
        </w:rPr>
      </w:pPr>
      <w:r w:rsidRPr="004B0954">
        <w:rPr>
          <w:rFonts w:ascii="Times New Roman" w:hAnsi="Times New Roman" w:cs="Times New Roman"/>
          <w:b/>
          <w:sz w:val="32"/>
          <w:szCs w:val="32"/>
        </w:rPr>
        <w:t>UPDATES MADE TO THE ADDITIONAL FINANCE</w:t>
      </w:r>
    </w:p>
    <w:p w14:paraId="1238C67E" w14:textId="77777777" w:rsidR="00A467BA" w:rsidRPr="004B0954" w:rsidRDefault="00A467BA" w:rsidP="00A467BA">
      <w:pPr>
        <w:tabs>
          <w:tab w:val="left" w:pos="5190"/>
        </w:tabs>
        <w:jc w:val="center"/>
        <w:rPr>
          <w:rFonts w:ascii="Times New Roman" w:hAnsi="Times New Roman" w:cs="Times New Roman"/>
          <w:b/>
          <w:sz w:val="32"/>
          <w:szCs w:val="32"/>
        </w:rPr>
      </w:pPr>
    </w:p>
    <w:p w14:paraId="4005B782" w14:textId="485A29F8" w:rsidR="00A467BA" w:rsidRPr="004B0954" w:rsidRDefault="00A467BA" w:rsidP="00A467BA">
      <w:pPr>
        <w:tabs>
          <w:tab w:val="left" w:pos="5190"/>
        </w:tabs>
        <w:jc w:val="center"/>
        <w:rPr>
          <w:rFonts w:ascii="Times New Roman" w:hAnsi="Times New Roman" w:cs="Times New Roman"/>
          <w:b/>
          <w:sz w:val="24"/>
          <w:szCs w:val="24"/>
        </w:rPr>
      </w:pPr>
      <w:r w:rsidRPr="004B0954">
        <w:rPr>
          <w:rFonts w:ascii="Times New Roman" w:hAnsi="Times New Roman" w:cs="Times New Roman"/>
          <w:b/>
          <w:sz w:val="24"/>
          <w:szCs w:val="24"/>
        </w:rPr>
        <w:t>By</w:t>
      </w:r>
    </w:p>
    <w:p w14:paraId="272383DA" w14:textId="77777777" w:rsidR="00A467BA" w:rsidRPr="004B0954" w:rsidRDefault="00A467BA" w:rsidP="00A467BA">
      <w:pPr>
        <w:tabs>
          <w:tab w:val="left" w:pos="5190"/>
        </w:tabs>
        <w:jc w:val="center"/>
        <w:rPr>
          <w:rFonts w:ascii="Times New Roman" w:hAnsi="Times New Roman" w:cs="Times New Roman"/>
          <w:b/>
          <w:sz w:val="24"/>
          <w:szCs w:val="24"/>
        </w:rPr>
      </w:pPr>
    </w:p>
    <w:p w14:paraId="4608DFF1" w14:textId="49491CC5" w:rsidR="00A467BA" w:rsidRPr="004B0954" w:rsidRDefault="00A467BA" w:rsidP="00A467BA">
      <w:pPr>
        <w:tabs>
          <w:tab w:val="left" w:pos="5190"/>
        </w:tabs>
        <w:jc w:val="center"/>
        <w:rPr>
          <w:rFonts w:ascii="Times New Roman" w:hAnsi="Times New Roman" w:cs="Times New Roman"/>
          <w:b/>
          <w:sz w:val="32"/>
          <w:szCs w:val="32"/>
        </w:rPr>
      </w:pPr>
      <w:r w:rsidRPr="004B0954">
        <w:rPr>
          <w:rFonts w:ascii="Times New Roman" w:hAnsi="Times New Roman" w:cs="Times New Roman"/>
          <w:b/>
          <w:sz w:val="32"/>
          <w:szCs w:val="32"/>
        </w:rPr>
        <w:t>THE FDRE MINISTRY OF AGRICULTURE</w:t>
      </w:r>
    </w:p>
    <w:p w14:paraId="03BE95E1" w14:textId="77777777" w:rsidR="00DF24EC" w:rsidRPr="004B0954" w:rsidRDefault="00DF24EC" w:rsidP="00DF24EC">
      <w:pPr>
        <w:jc w:val="both"/>
        <w:rPr>
          <w:rFonts w:ascii="Times New Roman" w:hAnsi="Times New Roman" w:cs="Times New Roman"/>
          <w:b/>
          <w:sz w:val="24"/>
          <w:szCs w:val="24"/>
        </w:rPr>
      </w:pPr>
    </w:p>
    <w:p w14:paraId="4188859F" w14:textId="77777777" w:rsidR="00DF24EC" w:rsidRPr="004B0954" w:rsidRDefault="00DF24EC" w:rsidP="00DF24EC">
      <w:pPr>
        <w:jc w:val="both"/>
        <w:rPr>
          <w:rFonts w:ascii="Times New Roman" w:hAnsi="Times New Roman" w:cs="Times New Roman"/>
          <w:b/>
          <w:sz w:val="24"/>
          <w:szCs w:val="24"/>
        </w:rPr>
      </w:pPr>
    </w:p>
    <w:p w14:paraId="68CB57DC" w14:textId="77777777" w:rsidR="00A467BA" w:rsidRPr="004B0954" w:rsidRDefault="00A467BA" w:rsidP="00DF24EC">
      <w:pPr>
        <w:jc w:val="both"/>
        <w:rPr>
          <w:rFonts w:ascii="Times New Roman" w:hAnsi="Times New Roman" w:cs="Times New Roman"/>
          <w:b/>
          <w:sz w:val="24"/>
          <w:szCs w:val="24"/>
        </w:rPr>
      </w:pPr>
    </w:p>
    <w:p w14:paraId="5BF692C0" w14:textId="77777777" w:rsidR="00A467BA" w:rsidRPr="004B0954" w:rsidRDefault="00A467BA" w:rsidP="00DF24EC">
      <w:pPr>
        <w:jc w:val="both"/>
        <w:rPr>
          <w:rFonts w:ascii="Times New Roman" w:hAnsi="Times New Roman" w:cs="Times New Roman"/>
          <w:b/>
          <w:sz w:val="24"/>
          <w:szCs w:val="24"/>
        </w:rPr>
      </w:pPr>
    </w:p>
    <w:p w14:paraId="1D68A4F2" w14:textId="77777777" w:rsidR="00A467BA" w:rsidRPr="004B0954" w:rsidRDefault="00A467BA" w:rsidP="00DF24EC">
      <w:pPr>
        <w:jc w:val="both"/>
        <w:rPr>
          <w:rFonts w:ascii="Times New Roman" w:hAnsi="Times New Roman" w:cs="Times New Roman"/>
          <w:b/>
          <w:sz w:val="24"/>
          <w:szCs w:val="24"/>
        </w:rPr>
      </w:pPr>
    </w:p>
    <w:p w14:paraId="528C9F8B" w14:textId="77777777" w:rsidR="00A467BA" w:rsidRPr="004B0954" w:rsidRDefault="00A467BA" w:rsidP="00DF24EC">
      <w:pPr>
        <w:jc w:val="both"/>
        <w:rPr>
          <w:rFonts w:ascii="Times New Roman" w:hAnsi="Times New Roman" w:cs="Times New Roman"/>
          <w:b/>
          <w:sz w:val="24"/>
          <w:szCs w:val="24"/>
        </w:rPr>
      </w:pPr>
    </w:p>
    <w:p w14:paraId="77D18A35" w14:textId="77777777" w:rsidR="00A467BA" w:rsidRPr="004B0954" w:rsidRDefault="00A467BA" w:rsidP="00DF24EC">
      <w:pPr>
        <w:jc w:val="both"/>
        <w:rPr>
          <w:rFonts w:ascii="Times New Roman" w:hAnsi="Times New Roman" w:cs="Times New Roman"/>
          <w:b/>
          <w:sz w:val="24"/>
          <w:szCs w:val="24"/>
        </w:rPr>
      </w:pPr>
    </w:p>
    <w:p w14:paraId="3CB016FA" w14:textId="77777777" w:rsidR="00A467BA" w:rsidRPr="004B0954" w:rsidRDefault="00A467BA" w:rsidP="00DF24EC">
      <w:pPr>
        <w:jc w:val="both"/>
        <w:rPr>
          <w:rFonts w:ascii="Times New Roman" w:hAnsi="Times New Roman" w:cs="Times New Roman"/>
          <w:b/>
          <w:sz w:val="24"/>
          <w:szCs w:val="24"/>
        </w:rPr>
      </w:pPr>
    </w:p>
    <w:p w14:paraId="4A6E5B3F" w14:textId="77777777" w:rsidR="00A467BA" w:rsidRPr="004B0954" w:rsidRDefault="00A467BA" w:rsidP="00DF24EC">
      <w:pPr>
        <w:jc w:val="both"/>
        <w:rPr>
          <w:rFonts w:ascii="Times New Roman" w:hAnsi="Times New Roman" w:cs="Times New Roman"/>
          <w:b/>
          <w:sz w:val="24"/>
          <w:szCs w:val="24"/>
        </w:rPr>
      </w:pPr>
    </w:p>
    <w:p w14:paraId="270C435A" w14:textId="77777777" w:rsidR="00A467BA" w:rsidRPr="004B0954" w:rsidRDefault="00A467BA" w:rsidP="00DF24EC">
      <w:pPr>
        <w:jc w:val="both"/>
        <w:rPr>
          <w:rFonts w:ascii="Times New Roman" w:hAnsi="Times New Roman" w:cs="Times New Roman"/>
          <w:b/>
          <w:sz w:val="24"/>
          <w:szCs w:val="24"/>
        </w:rPr>
      </w:pPr>
    </w:p>
    <w:p w14:paraId="2D7AF709" w14:textId="77777777" w:rsidR="00DF24EC" w:rsidRPr="004B0954" w:rsidRDefault="00DF24EC" w:rsidP="00DF24EC">
      <w:pPr>
        <w:jc w:val="both"/>
        <w:rPr>
          <w:rFonts w:ascii="Times New Roman" w:hAnsi="Times New Roman" w:cs="Times New Roman"/>
          <w:b/>
          <w:sz w:val="24"/>
          <w:szCs w:val="24"/>
        </w:rPr>
      </w:pPr>
    </w:p>
    <w:p w14:paraId="1970217A" w14:textId="77777777" w:rsidR="00A467BA" w:rsidRPr="004B0954" w:rsidRDefault="00A467BA" w:rsidP="00A467BA">
      <w:pPr>
        <w:jc w:val="right"/>
        <w:rPr>
          <w:rFonts w:ascii="Times New Roman" w:hAnsi="Times New Roman" w:cs="Times New Roman"/>
          <w:b/>
          <w:sz w:val="24"/>
          <w:szCs w:val="24"/>
        </w:rPr>
      </w:pPr>
      <w:r w:rsidRPr="004B0954">
        <w:rPr>
          <w:rFonts w:ascii="Times New Roman" w:hAnsi="Times New Roman" w:cs="Times New Roman"/>
          <w:b/>
          <w:sz w:val="24"/>
          <w:szCs w:val="24"/>
        </w:rPr>
        <w:t xml:space="preserve">May 2022, </w:t>
      </w:r>
    </w:p>
    <w:p w14:paraId="66EFB903" w14:textId="77777777" w:rsidR="00A467BA" w:rsidRPr="004B0954" w:rsidRDefault="00A467BA" w:rsidP="00A467BA">
      <w:pPr>
        <w:jc w:val="right"/>
        <w:rPr>
          <w:rFonts w:ascii="Times New Roman" w:hAnsi="Times New Roman" w:cs="Times New Roman"/>
          <w:b/>
          <w:sz w:val="24"/>
          <w:szCs w:val="24"/>
        </w:rPr>
      </w:pPr>
      <w:r w:rsidRPr="004B0954">
        <w:rPr>
          <w:rFonts w:ascii="Times New Roman" w:hAnsi="Times New Roman" w:cs="Times New Roman"/>
          <w:b/>
          <w:sz w:val="24"/>
          <w:szCs w:val="24"/>
        </w:rPr>
        <w:t xml:space="preserve">Addis Ababa, </w:t>
      </w:r>
    </w:p>
    <w:p w14:paraId="6163D8AD" w14:textId="1599956A" w:rsidR="00DF24EC" w:rsidRPr="004B0954" w:rsidRDefault="00A467BA" w:rsidP="00A467BA">
      <w:pPr>
        <w:jc w:val="right"/>
        <w:rPr>
          <w:rFonts w:ascii="Times New Roman" w:hAnsi="Times New Roman" w:cs="Times New Roman"/>
          <w:b/>
          <w:sz w:val="24"/>
          <w:szCs w:val="24"/>
        </w:rPr>
      </w:pPr>
      <w:r w:rsidRPr="004B0954">
        <w:rPr>
          <w:rFonts w:ascii="Times New Roman" w:hAnsi="Times New Roman" w:cs="Times New Roman"/>
          <w:b/>
          <w:sz w:val="24"/>
          <w:szCs w:val="24"/>
        </w:rPr>
        <w:t>Ethiopia</w:t>
      </w:r>
    </w:p>
    <w:sdt>
      <w:sdtPr>
        <w:rPr>
          <w:rFonts w:ascii="Times New Roman" w:eastAsiaTheme="minorHAnsi" w:hAnsi="Times New Roman" w:cs="Times New Roman"/>
          <w:b w:val="0"/>
          <w:bCs w:val="0"/>
          <w:color w:val="auto"/>
          <w:sz w:val="22"/>
          <w:szCs w:val="22"/>
        </w:rPr>
        <w:id w:val="257298849"/>
        <w:docPartObj>
          <w:docPartGallery w:val="Table of Contents"/>
          <w:docPartUnique/>
        </w:docPartObj>
      </w:sdtPr>
      <w:sdtEndPr/>
      <w:sdtContent>
        <w:p w14:paraId="4E7C5ED5" w14:textId="77777777" w:rsidR="00763617" w:rsidRPr="004B0954" w:rsidRDefault="00763617">
          <w:pPr>
            <w:pStyle w:val="TOCHeading"/>
            <w:rPr>
              <w:rFonts w:ascii="Times New Roman" w:hAnsi="Times New Roman" w:cs="Times New Roman"/>
              <w:color w:val="auto"/>
              <w:sz w:val="24"/>
              <w:szCs w:val="24"/>
            </w:rPr>
          </w:pPr>
          <w:r w:rsidRPr="004B0954">
            <w:rPr>
              <w:rFonts w:ascii="Times New Roman" w:hAnsi="Times New Roman" w:cs="Times New Roman"/>
              <w:color w:val="auto"/>
              <w:sz w:val="24"/>
              <w:szCs w:val="24"/>
            </w:rPr>
            <w:t>Contents</w:t>
          </w:r>
        </w:p>
        <w:p w14:paraId="352A2CDA" w14:textId="22EAFC02" w:rsidR="001B001F" w:rsidRPr="004B0954" w:rsidRDefault="007D6B49">
          <w:pPr>
            <w:pStyle w:val="TOC1"/>
            <w:tabs>
              <w:tab w:val="right" w:leader="dot" w:pos="9350"/>
            </w:tabs>
            <w:rPr>
              <w:rFonts w:eastAsiaTheme="minorEastAsia"/>
              <w:noProof/>
            </w:rPr>
          </w:pPr>
          <w:r w:rsidRPr="004B0954">
            <w:rPr>
              <w:rFonts w:ascii="Times New Roman" w:hAnsi="Times New Roman" w:cs="Times New Roman"/>
              <w:b/>
              <w:sz w:val="24"/>
              <w:szCs w:val="24"/>
            </w:rPr>
            <w:fldChar w:fldCharType="begin"/>
          </w:r>
          <w:r w:rsidR="00763617" w:rsidRPr="004B0954">
            <w:rPr>
              <w:rFonts w:ascii="Times New Roman" w:hAnsi="Times New Roman" w:cs="Times New Roman"/>
              <w:b/>
              <w:sz w:val="24"/>
              <w:szCs w:val="24"/>
            </w:rPr>
            <w:instrText xml:space="preserve"> TOC \o "1-3" \h \z \u </w:instrText>
          </w:r>
          <w:r w:rsidRPr="004B0954">
            <w:rPr>
              <w:rFonts w:ascii="Times New Roman" w:hAnsi="Times New Roman" w:cs="Times New Roman"/>
              <w:b/>
              <w:sz w:val="24"/>
              <w:szCs w:val="24"/>
            </w:rPr>
            <w:fldChar w:fldCharType="separate"/>
          </w:r>
          <w:hyperlink w:anchor="_Toc48854792" w:history="1">
            <w:r w:rsidR="001B001F" w:rsidRPr="004B0954">
              <w:rPr>
                <w:rStyle w:val="Hyperlink"/>
                <w:rFonts w:ascii="Times New Roman" w:hAnsi="Times New Roman" w:cs="Times New Roman"/>
                <w:noProof/>
                <w:color w:val="auto"/>
              </w:rPr>
              <w:t>1. Introduction and Context</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_Toc48854792 \h </w:instrText>
            </w:r>
            <w:r w:rsidR="001B001F" w:rsidRPr="004B0954">
              <w:rPr>
                <w:noProof/>
                <w:webHidden/>
              </w:rPr>
            </w:r>
            <w:r w:rsidR="001B001F" w:rsidRPr="004B0954">
              <w:rPr>
                <w:noProof/>
                <w:webHidden/>
              </w:rPr>
              <w:fldChar w:fldCharType="separate"/>
            </w:r>
            <w:r w:rsidR="00345721" w:rsidRPr="004B0954">
              <w:rPr>
                <w:noProof/>
                <w:webHidden/>
              </w:rPr>
              <w:t>4</w:t>
            </w:r>
            <w:r w:rsidR="001B001F" w:rsidRPr="004B0954">
              <w:rPr>
                <w:noProof/>
                <w:webHidden/>
              </w:rPr>
              <w:fldChar w:fldCharType="end"/>
            </w:r>
          </w:hyperlink>
        </w:p>
        <w:p w14:paraId="2E077473" w14:textId="2BD29066" w:rsidR="001B001F" w:rsidRPr="004B0954" w:rsidRDefault="0001669A">
          <w:pPr>
            <w:pStyle w:val="TOC2"/>
            <w:tabs>
              <w:tab w:val="right" w:leader="dot" w:pos="9350"/>
            </w:tabs>
            <w:rPr>
              <w:rFonts w:eastAsiaTheme="minorEastAsia"/>
              <w:noProof/>
            </w:rPr>
          </w:pPr>
          <w:hyperlink w:anchor="_Toc48854793" w:history="1">
            <w:r w:rsidR="001B001F" w:rsidRPr="004B0954">
              <w:rPr>
                <w:rStyle w:val="Hyperlink"/>
                <w:rFonts w:ascii="Times New Roman" w:hAnsi="Times New Roman" w:cs="Times New Roman"/>
                <w:noProof/>
                <w:color w:val="auto"/>
              </w:rPr>
              <w:t>1.1. Background</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_Toc48854793 \h </w:instrText>
            </w:r>
            <w:r w:rsidR="001B001F" w:rsidRPr="004B0954">
              <w:rPr>
                <w:noProof/>
                <w:webHidden/>
              </w:rPr>
            </w:r>
            <w:r w:rsidR="001B001F" w:rsidRPr="004B0954">
              <w:rPr>
                <w:noProof/>
                <w:webHidden/>
              </w:rPr>
              <w:fldChar w:fldCharType="separate"/>
            </w:r>
            <w:r w:rsidR="00345721" w:rsidRPr="004B0954">
              <w:rPr>
                <w:noProof/>
                <w:webHidden/>
              </w:rPr>
              <w:t>4</w:t>
            </w:r>
            <w:r w:rsidR="001B001F" w:rsidRPr="004B0954">
              <w:rPr>
                <w:noProof/>
                <w:webHidden/>
              </w:rPr>
              <w:fldChar w:fldCharType="end"/>
            </w:r>
          </w:hyperlink>
        </w:p>
        <w:p w14:paraId="6F0B1DAA" w14:textId="47FA7152" w:rsidR="001B001F" w:rsidRPr="004B0954" w:rsidRDefault="0001669A">
          <w:pPr>
            <w:pStyle w:val="TOC2"/>
            <w:tabs>
              <w:tab w:val="right" w:leader="dot" w:pos="9350"/>
            </w:tabs>
            <w:rPr>
              <w:rFonts w:eastAsiaTheme="minorEastAsia"/>
              <w:noProof/>
            </w:rPr>
          </w:pPr>
          <w:hyperlink w:anchor="_Toc48854794" w:history="1">
            <w:r w:rsidR="001B001F" w:rsidRPr="004B0954">
              <w:rPr>
                <w:rStyle w:val="Hyperlink"/>
                <w:rFonts w:ascii="Times New Roman" w:hAnsi="Times New Roman" w:cs="Times New Roman"/>
                <w:noProof/>
                <w:color w:val="auto"/>
              </w:rPr>
              <w:t>1.2. Description of the Project</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_Toc48854794 \h </w:instrText>
            </w:r>
            <w:r w:rsidR="001B001F" w:rsidRPr="004B0954">
              <w:rPr>
                <w:noProof/>
                <w:webHidden/>
              </w:rPr>
            </w:r>
            <w:r w:rsidR="001B001F" w:rsidRPr="004B0954">
              <w:rPr>
                <w:noProof/>
                <w:webHidden/>
              </w:rPr>
              <w:fldChar w:fldCharType="separate"/>
            </w:r>
            <w:r w:rsidR="00345721" w:rsidRPr="004B0954">
              <w:rPr>
                <w:noProof/>
                <w:webHidden/>
              </w:rPr>
              <w:t>4</w:t>
            </w:r>
            <w:r w:rsidR="001B001F" w:rsidRPr="004B0954">
              <w:rPr>
                <w:noProof/>
                <w:webHidden/>
              </w:rPr>
              <w:fldChar w:fldCharType="end"/>
            </w:r>
          </w:hyperlink>
        </w:p>
        <w:p w14:paraId="187E0450" w14:textId="6DDA2F94" w:rsidR="001B001F" w:rsidRPr="004B0954" w:rsidRDefault="0001669A">
          <w:pPr>
            <w:pStyle w:val="TOC1"/>
            <w:tabs>
              <w:tab w:val="right" w:leader="dot" w:pos="9350"/>
            </w:tabs>
            <w:rPr>
              <w:rFonts w:eastAsiaTheme="minorEastAsia"/>
              <w:noProof/>
            </w:rPr>
          </w:pPr>
          <w:hyperlink w:anchor="_Toc48854795" w:history="1">
            <w:r w:rsidR="001B001F" w:rsidRPr="004B0954">
              <w:rPr>
                <w:rStyle w:val="Hyperlink"/>
                <w:rFonts w:ascii="Times New Roman" w:hAnsi="Times New Roman" w:cs="Times New Roman"/>
                <w:noProof/>
                <w:color w:val="auto"/>
              </w:rPr>
              <w:t xml:space="preserve">2. Addressing Gender Based Violence (GBV) and Sexual Exploitation and Abuse (SEA) Risks in </w:t>
            </w:r>
            <w:r w:rsidR="001B001F" w:rsidRPr="004B0954">
              <w:rPr>
                <w:rStyle w:val="Hyperlink"/>
                <w:rFonts w:ascii="Times New Roman" w:hAnsi="Times New Roman" w:cs="Times New Roman"/>
                <w:bCs/>
                <w:noProof/>
                <w:color w:val="auto"/>
              </w:rPr>
              <w:t>Ethiopia Locust Response Project</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_Toc48854795 \h </w:instrText>
            </w:r>
            <w:r w:rsidR="001B001F" w:rsidRPr="004B0954">
              <w:rPr>
                <w:noProof/>
                <w:webHidden/>
              </w:rPr>
            </w:r>
            <w:r w:rsidR="001B001F" w:rsidRPr="004B0954">
              <w:rPr>
                <w:noProof/>
                <w:webHidden/>
              </w:rPr>
              <w:fldChar w:fldCharType="separate"/>
            </w:r>
            <w:r w:rsidR="00345721" w:rsidRPr="004B0954">
              <w:rPr>
                <w:noProof/>
                <w:webHidden/>
              </w:rPr>
              <w:t>7</w:t>
            </w:r>
            <w:r w:rsidR="001B001F" w:rsidRPr="004B0954">
              <w:rPr>
                <w:noProof/>
                <w:webHidden/>
              </w:rPr>
              <w:fldChar w:fldCharType="end"/>
            </w:r>
          </w:hyperlink>
        </w:p>
        <w:p w14:paraId="357826C9" w14:textId="666023F8" w:rsidR="001B001F" w:rsidRPr="004B0954" w:rsidRDefault="0001669A">
          <w:pPr>
            <w:pStyle w:val="TOC1"/>
            <w:tabs>
              <w:tab w:val="right" w:leader="dot" w:pos="9350"/>
            </w:tabs>
            <w:rPr>
              <w:rFonts w:eastAsiaTheme="minorEastAsia"/>
              <w:noProof/>
            </w:rPr>
          </w:pPr>
          <w:hyperlink w:anchor="_Toc48854796" w:history="1">
            <w:r w:rsidR="001B001F" w:rsidRPr="004B0954">
              <w:rPr>
                <w:rStyle w:val="Hyperlink"/>
                <w:rFonts w:ascii="Times New Roman" w:hAnsi="Times New Roman" w:cs="Times New Roman"/>
                <w:noProof/>
                <w:color w:val="auto"/>
              </w:rPr>
              <w:t>3. GBV Risk Mitigation, Prevention and Response for Ethiopia Locust Response Project</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_Toc48854796 \h </w:instrText>
            </w:r>
            <w:r w:rsidR="001B001F" w:rsidRPr="004B0954">
              <w:rPr>
                <w:noProof/>
                <w:webHidden/>
              </w:rPr>
            </w:r>
            <w:r w:rsidR="001B001F" w:rsidRPr="004B0954">
              <w:rPr>
                <w:noProof/>
                <w:webHidden/>
              </w:rPr>
              <w:fldChar w:fldCharType="separate"/>
            </w:r>
            <w:r w:rsidR="00345721" w:rsidRPr="004B0954">
              <w:rPr>
                <w:noProof/>
                <w:webHidden/>
              </w:rPr>
              <w:t>8</w:t>
            </w:r>
            <w:r w:rsidR="001B001F" w:rsidRPr="004B0954">
              <w:rPr>
                <w:noProof/>
                <w:webHidden/>
              </w:rPr>
              <w:fldChar w:fldCharType="end"/>
            </w:r>
          </w:hyperlink>
        </w:p>
        <w:p w14:paraId="5D74CFEC" w14:textId="1150CDD1" w:rsidR="001B001F" w:rsidRPr="004B0954" w:rsidRDefault="0001669A">
          <w:pPr>
            <w:pStyle w:val="TOC1"/>
            <w:tabs>
              <w:tab w:val="right" w:leader="dot" w:pos="9350"/>
            </w:tabs>
            <w:rPr>
              <w:rFonts w:eastAsiaTheme="minorEastAsia"/>
              <w:noProof/>
            </w:rPr>
          </w:pPr>
          <w:hyperlink w:anchor="_Toc48854797" w:history="1">
            <w:r w:rsidR="001B001F" w:rsidRPr="004B0954">
              <w:rPr>
                <w:rStyle w:val="Hyperlink"/>
                <w:rFonts w:ascii="Times New Roman" w:hAnsi="Times New Roman" w:cs="Times New Roman"/>
                <w:noProof/>
                <w:color w:val="auto"/>
              </w:rPr>
              <w:t>4. Operationalization of this SEA/SH Prevention and Response Plan: Project Annual Work Plan and Budget</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_Toc48854797 \h </w:instrText>
            </w:r>
            <w:r w:rsidR="001B001F" w:rsidRPr="004B0954">
              <w:rPr>
                <w:noProof/>
                <w:webHidden/>
              </w:rPr>
            </w:r>
            <w:r w:rsidR="001B001F" w:rsidRPr="004B0954">
              <w:rPr>
                <w:noProof/>
                <w:webHidden/>
              </w:rPr>
              <w:fldChar w:fldCharType="separate"/>
            </w:r>
            <w:r w:rsidR="00345721" w:rsidRPr="004B0954">
              <w:rPr>
                <w:noProof/>
                <w:webHidden/>
              </w:rPr>
              <w:t>9</w:t>
            </w:r>
            <w:r w:rsidR="001B001F" w:rsidRPr="004B0954">
              <w:rPr>
                <w:noProof/>
                <w:webHidden/>
              </w:rPr>
              <w:fldChar w:fldCharType="end"/>
            </w:r>
          </w:hyperlink>
        </w:p>
        <w:p w14:paraId="655987F1" w14:textId="63F493E7" w:rsidR="001B001F" w:rsidRPr="004B0954" w:rsidRDefault="0001669A">
          <w:pPr>
            <w:pStyle w:val="TOC1"/>
            <w:tabs>
              <w:tab w:val="right" w:leader="dot" w:pos="9350"/>
            </w:tabs>
            <w:rPr>
              <w:rFonts w:eastAsiaTheme="minorEastAsia"/>
              <w:noProof/>
            </w:rPr>
          </w:pPr>
          <w:hyperlink w:anchor="_Toc48854798" w:history="1">
            <w:r w:rsidR="001B001F" w:rsidRPr="004B0954">
              <w:rPr>
                <w:rStyle w:val="Hyperlink"/>
                <w:rFonts w:ascii="Times New Roman" w:hAnsi="Times New Roman" w:cs="Times New Roman"/>
                <w:noProof/>
                <w:color w:val="auto"/>
              </w:rPr>
              <w:t>5.  Detailed Action Plan for the Program: Ethiopia Desert Locust Response</w:t>
            </w:r>
            <w:r w:rsidR="001B001F" w:rsidRPr="004B0954">
              <w:rPr>
                <w:noProof/>
                <w:webHidden/>
              </w:rPr>
              <w:tab/>
            </w:r>
            <w:r w:rsidR="001B001F" w:rsidRPr="004B0954">
              <w:rPr>
                <w:noProof/>
                <w:webHidden/>
              </w:rPr>
              <w:fldChar w:fldCharType="begin"/>
            </w:r>
            <w:r w:rsidR="001B001F" w:rsidRPr="004B0954">
              <w:rPr>
                <w:noProof/>
                <w:webHidden/>
              </w:rPr>
              <w:instrText xml:space="preserve"> PAGEREF _Toc48854798 \h </w:instrText>
            </w:r>
            <w:r w:rsidR="001B001F" w:rsidRPr="004B0954">
              <w:rPr>
                <w:noProof/>
                <w:webHidden/>
              </w:rPr>
            </w:r>
            <w:r w:rsidR="001B001F" w:rsidRPr="004B0954">
              <w:rPr>
                <w:noProof/>
                <w:webHidden/>
              </w:rPr>
              <w:fldChar w:fldCharType="separate"/>
            </w:r>
            <w:r w:rsidR="00345721" w:rsidRPr="004B0954">
              <w:rPr>
                <w:noProof/>
                <w:webHidden/>
              </w:rPr>
              <w:t>10</w:t>
            </w:r>
            <w:r w:rsidR="001B001F" w:rsidRPr="004B0954">
              <w:rPr>
                <w:noProof/>
                <w:webHidden/>
              </w:rPr>
              <w:fldChar w:fldCharType="end"/>
            </w:r>
          </w:hyperlink>
        </w:p>
        <w:p w14:paraId="72C149B9" w14:textId="36C12861" w:rsidR="00763617" w:rsidRPr="004B0954" w:rsidRDefault="007D6B49">
          <w:pPr>
            <w:rPr>
              <w:rFonts w:ascii="Times New Roman" w:hAnsi="Times New Roman" w:cs="Times New Roman"/>
            </w:rPr>
          </w:pPr>
          <w:r w:rsidRPr="004B0954">
            <w:rPr>
              <w:rFonts w:ascii="Times New Roman" w:hAnsi="Times New Roman" w:cs="Times New Roman"/>
              <w:b/>
              <w:sz w:val="24"/>
              <w:szCs w:val="24"/>
            </w:rPr>
            <w:fldChar w:fldCharType="end"/>
          </w:r>
        </w:p>
      </w:sdtContent>
    </w:sdt>
    <w:p w14:paraId="7C363245" w14:textId="77777777" w:rsidR="00DF24EC" w:rsidRPr="004B0954" w:rsidRDefault="00DF24EC" w:rsidP="00DF24EC">
      <w:pPr>
        <w:jc w:val="both"/>
        <w:rPr>
          <w:rFonts w:ascii="Times New Roman" w:hAnsi="Times New Roman" w:cs="Times New Roman"/>
          <w:b/>
          <w:sz w:val="24"/>
          <w:szCs w:val="24"/>
        </w:rPr>
      </w:pPr>
    </w:p>
    <w:p w14:paraId="463368D8" w14:textId="77777777" w:rsidR="00DF24EC" w:rsidRPr="004B0954" w:rsidRDefault="00DF24EC" w:rsidP="00DF24EC">
      <w:pPr>
        <w:jc w:val="both"/>
        <w:rPr>
          <w:rFonts w:ascii="Times New Roman" w:hAnsi="Times New Roman" w:cs="Times New Roman"/>
          <w:b/>
          <w:sz w:val="24"/>
          <w:szCs w:val="24"/>
        </w:rPr>
      </w:pPr>
    </w:p>
    <w:p w14:paraId="3D49EFF9" w14:textId="77777777" w:rsidR="00DF24EC" w:rsidRPr="004B0954" w:rsidRDefault="00DF24EC" w:rsidP="00DF24EC">
      <w:pPr>
        <w:jc w:val="both"/>
        <w:rPr>
          <w:rFonts w:ascii="Times New Roman" w:hAnsi="Times New Roman" w:cs="Times New Roman"/>
          <w:b/>
          <w:sz w:val="24"/>
          <w:szCs w:val="24"/>
        </w:rPr>
      </w:pPr>
    </w:p>
    <w:p w14:paraId="58880490" w14:textId="77777777" w:rsidR="00DF24EC" w:rsidRPr="004B0954" w:rsidRDefault="00DF24EC" w:rsidP="00DF24EC">
      <w:pPr>
        <w:jc w:val="both"/>
        <w:rPr>
          <w:rFonts w:ascii="Times New Roman" w:hAnsi="Times New Roman" w:cs="Times New Roman"/>
          <w:b/>
          <w:sz w:val="24"/>
          <w:szCs w:val="24"/>
        </w:rPr>
      </w:pPr>
    </w:p>
    <w:p w14:paraId="7523F1BC" w14:textId="77777777" w:rsidR="00DF24EC" w:rsidRPr="004B0954" w:rsidRDefault="00DF24EC" w:rsidP="00DF24EC">
      <w:pPr>
        <w:jc w:val="both"/>
        <w:rPr>
          <w:rFonts w:ascii="Times New Roman" w:hAnsi="Times New Roman" w:cs="Times New Roman"/>
          <w:b/>
          <w:sz w:val="24"/>
          <w:szCs w:val="24"/>
        </w:rPr>
      </w:pPr>
    </w:p>
    <w:p w14:paraId="7EFDA8F0" w14:textId="77777777" w:rsidR="00DF24EC" w:rsidRPr="004B0954" w:rsidRDefault="00DF24EC" w:rsidP="00DF24EC">
      <w:pPr>
        <w:jc w:val="both"/>
        <w:rPr>
          <w:rFonts w:ascii="Times New Roman" w:hAnsi="Times New Roman" w:cs="Times New Roman"/>
          <w:b/>
          <w:sz w:val="24"/>
          <w:szCs w:val="24"/>
        </w:rPr>
      </w:pPr>
    </w:p>
    <w:p w14:paraId="6446F1E7" w14:textId="77777777" w:rsidR="00DF24EC" w:rsidRPr="004B0954" w:rsidRDefault="00DF24EC" w:rsidP="00DF24EC">
      <w:pPr>
        <w:pStyle w:val="Heading1"/>
        <w:jc w:val="both"/>
        <w:rPr>
          <w:rFonts w:ascii="Times New Roman" w:hAnsi="Times New Roman" w:cs="Times New Roman"/>
          <w:color w:val="auto"/>
          <w:sz w:val="24"/>
          <w:szCs w:val="24"/>
        </w:rPr>
        <w:sectPr w:rsidR="00DF24EC" w:rsidRPr="004B0954" w:rsidSect="00DF24EC">
          <w:footerReference w:type="default" r:id="rId14"/>
          <w:pgSz w:w="12240" w:h="15840"/>
          <w:pgMar w:top="1440" w:right="1440" w:bottom="1440" w:left="1440" w:header="720" w:footer="720" w:gutter="0"/>
          <w:cols w:space="720"/>
          <w:docGrid w:linePitch="360"/>
        </w:sectPr>
      </w:pPr>
      <w:bookmarkStart w:id="0" w:name="_Toc39565469"/>
      <w:bookmarkStart w:id="1" w:name="_Toc40731668"/>
    </w:p>
    <w:p w14:paraId="10BB085B" w14:textId="7FB7EB52" w:rsidR="00DF24EC" w:rsidRPr="004B0954" w:rsidRDefault="00DF24EC" w:rsidP="00A467BA">
      <w:pPr>
        <w:pStyle w:val="Heading1"/>
        <w:numPr>
          <w:ilvl w:val="0"/>
          <w:numId w:val="11"/>
        </w:numPr>
        <w:jc w:val="both"/>
        <w:rPr>
          <w:rFonts w:ascii="Times New Roman" w:hAnsi="Times New Roman" w:cs="Times New Roman"/>
          <w:b/>
          <w:color w:val="auto"/>
          <w:sz w:val="28"/>
          <w:szCs w:val="28"/>
        </w:rPr>
      </w:pPr>
      <w:bookmarkStart w:id="2" w:name="_Toc48854792"/>
      <w:r w:rsidRPr="004B0954">
        <w:rPr>
          <w:rFonts w:ascii="Times New Roman" w:hAnsi="Times New Roman" w:cs="Times New Roman"/>
          <w:b/>
          <w:color w:val="auto"/>
          <w:sz w:val="28"/>
          <w:szCs w:val="28"/>
        </w:rPr>
        <w:t>Introduction and Context</w:t>
      </w:r>
      <w:bookmarkEnd w:id="0"/>
      <w:bookmarkEnd w:id="1"/>
      <w:bookmarkEnd w:id="2"/>
    </w:p>
    <w:p w14:paraId="6AD71705" w14:textId="77777777" w:rsidR="00A467BA" w:rsidRPr="004B0954" w:rsidRDefault="00A467BA" w:rsidP="00A467BA"/>
    <w:p w14:paraId="0F205DF3" w14:textId="77777777" w:rsidR="00DF24EC" w:rsidRPr="004B0954" w:rsidRDefault="00DF24EC" w:rsidP="00DF24EC">
      <w:pPr>
        <w:pStyle w:val="Heading2"/>
        <w:jc w:val="both"/>
        <w:rPr>
          <w:rFonts w:ascii="Times New Roman" w:hAnsi="Times New Roman" w:cs="Times New Roman"/>
          <w:b/>
          <w:color w:val="auto"/>
          <w:sz w:val="28"/>
          <w:szCs w:val="28"/>
        </w:rPr>
      </w:pPr>
      <w:bookmarkStart w:id="3" w:name="_Toc39565470"/>
      <w:bookmarkStart w:id="4" w:name="_Toc40731669"/>
      <w:bookmarkStart w:id="5" w:name="_Toc48854793"/>
      <w:r w:rsidRPr="004B0954">
        <w:rPr>
          <w:rFonts w:ascii="Times New Roman" w:hAnsi="Times New Roman" w:cs="Times New Roman"/>
          <w:b/>
          <w:color w:val="auto"/>
          <w:sz w:val="28"/>
          <w:szCs w:val="28"/>
        </w:rPr>
        <w:t>1.1. Background</w:t>
      </w:r>
      <w:bookmarkEnd w:id="3"/>
      <w:bookmarkEnd w:id="4"/>
      <w:bookmarkEnd w:id="5"/>
    </w:p>
    <w:p w14:paraId="0357B99D" w14:textId="336CAA89" w:rsidR="0005304C" w:rsidRPr="004B0954" w:rsidRDefault="00A467BA" w:rsidP="0004618B">
      <w:pPr>
        <w:spacing w:before="240" w:line="240" w:lineRule="auto"/>
        <w:jc w:val="both"/>
        <w:rPr>
          <w:rFonts w:ascii="Times New Roman" w:hAnsi="Times New Roman" w:cs="Times New Roman"/>
          <w:sz w:val="24"/>
          <w:szCs w:val="24"/>
        </w:rPr>
      </w:pPr>
      <w:r w:rsidRPr="004B0954">
        <w:rPr>
          <w:rFonts w:ascii="Times New Roman" w:eastAsiaTheme="minorEastAsia" w:hAnsi="Times New Roman" w:cs="Times New Roman"/>
          <w:sz w:val="24"/>
          <w:szCs w:val="24"/>
          <w:lang w:val="en-GB"/>
        </w:rPr>
        <w:t>Gender-Based V</w:t>
      </w:r>
      <w:r w:rsidR="00661397" w:rsidRPr="004B0954">
        <w:rPr>
          <w:rFonts w:ascii="Times New Roman" w:eastAsiaTheme="minorEastAsia" w:hAnsi="Times New Roman" w:cs="Times New Roman"/>
          <w:sz w:val="24"/>
          <w:szCs w:val="24"/>
          <w:lang w:val="en-GB"/>
        </w:rPr>
        <w:t>iolence (GBV) is an</w:t>
      </w:r>
      <w:r w:rsidR="00A11DA8" w:rsidRPr="004B0954">
        <w:rPr>
          <w:rFonts w:ascii="Times New Roman" w:eastAsiaTheme="minorEastAsia" w:hAnsi="Times New Roman" w:cs="Times New Roman"/>
          <w:sz w:val="24"/>
          <w:szCs w:val="24"/>
          <w:lang w:val="en-GB"/>
        </w:rPr>
        <w:t xml:space="preserve"> </w:t>
      </w:r>
      <w:r w:rsidR="00661397" w:rsidRPr="004B0954">
        <w:rPr>
          <w:rFonts w:ascii="Times New Roman" w:eastAsiaTheme="minorEastAsia" w:hAnsi="Times New Roman" w:cs="Times New Roman"/>
          <w:sz w:val="24"/>
          <w:szCs w:val="24"/>
          <w:lang w:val="en-GB"/>
        </w:rPr>
        <w:t xml:space="preserve">umbrella term for any harmful act </w:t>
      </w:r>
      <w:r w:rsidR="0092751A" w:rsidRPr="004B0954">
        <w:rPr>
          <w:rFonts w:ascii="Times New Roman" w:eastAsiaTheme="minorEastAsia" w:hAnsi="Times New Roman" w:cs="Times New Roman"/>
          <w:sz w:val="24"/>
          <w:szCs w:val="24"/>
          <w:lang w:val="en-GB"/>
        </w:rPr>
        <w:t>that is perpetrated against a person’s will, and that is based on socially ascribed (gender) differences between males and females.</w:t>
      </w:r>
      <w:r w:rsidR="00E868A8" w:rsidRPr="004B0954">
        <w:t xml:space="preserve"> </w:t>
      </w:r>
      <w:r w:rsidR="00E868A8" w:rsidRPr="004B0954">
        <w:rPr>
          <w:rFonts w:ascii="Times New Roman" w:eastAsiaTheme="minorEastAsia" w:hAnsi="Times New Roman" w:cs="Times New Roman"/>
          <w:sz w:val="24"/>
          <w:szCs w:val="24"/>
          <w:lang w:val="en-GB"/>
        </w:rPr>
        <w:t>These include sexual violence, domestic or intimate partner violence, trafficking, forced and/or early marriage, and other traditional practices that cause harm.</w:t>
      </w:r>
      <w:r w:rsidR="004D20B2" w:rsidRPr="004B0954">
        <w:rPr>
          <w:rFonts w:ascii="Times New Roman" w:eastAsiaTheme="minorEastAsia" w:hAnsi="Times New Roman" w:cs="Times New Roman"/>
          <w:sz w:val="24"/>
          <w:szCs w:val="24"/>
          <w:lang w:val="en-GB"/>
        </w:rPr>
        <w:t xml:space="preserve"> </w:t>
      </w:r>
      <w:r w:rsidR="00DF24EC" w:rsidRPr="004B0954">
        <w:rPr>
          <w:rFonts w:ascii="Times New Roman" w:eastAsiaTheme="minorEastAsia" w:hAnsi="Times New Roman" w:cs="Times New Roman"/>
          <w:sz w:val="24"/>
          <w:szCs w:val="24"/>
          <w:lang w:val="en-GB" w:eastAsia="zh-CN"/>
        </w:rPr>
        <w:t xml:space="preserve">The </w:t>
      </w:r>
      <w:r w:rsidR="00DF24EC" w:rsidRPr="004B0954">
        <w:rPr>
          <w:rFonts w:ascii="Times New Roman" w:hAnsi="Times New Roman" w:cs="Times New Roman"/>
          <w:sz w:val="24"/>
          <w:szCs w:val="24"/>
        </w:rPr>
        <w:t>project will ensure systems to address and prevent Gender Based Violence/Sexual Exploitation and Abuse</w:t>
      </w:r>
      <w:r w:rsidR="0005304C" w:rsidRPr="004B0954">
        <w:rPr>
          <w:rFonts w:ascii="Times New Roman" w:hAnsi="Times New Roman" w:cs="Times New Roman"/>
          <w:sz w:val="24"/>
          <w:szCs w:val="24"/>
        </w:rPr>
        <w:t>/Sexual Harassment exacerbated/created by the project</w:t>
      </w:r>
      <w:r w:rsidR="00DF24EC" w:rsidRPr="004B0954">
        <w:rPr>
          <w:rFonts w:ascii="Times New Roman" w:hAnsi="Times New Roman" w:cs="Times New Roman"/>
          <w:sz w:val="24"/>
          <w:szCs w:val="24"/>
        </w:rPr>
        <w:t xml:space="preserve"> </w:t>
      </w:r>
      <w:r w:rsidR="0005304C" w:rsidRPr="004B0954">
        <w:rPr>
          <w:rFonts w:ascii="Times New Roman" w:hAnsi="Times New Roman" w:cs="Times New Roman"/>
          <w:sz w:val="24"/>
          <w:szCs w:val="24"/>
        </w:rPr>
        <w:t xml:space="preserve">are put in place </w:t>
      </w:r>
      <w:r w:rsidR="00DF24EC" w:rsidRPr="004B0954">
        <w:rPr>
          <w:rFonts w:ascii="Times New Roman" w:hAnsi="Times New Roman" w:cs="Times New Roman"/>
          <w:sz w:val="24"/>
          <w:szCs w:val="24"/>
        </w:rPr>
        <w:t xml:space="preserve">by establishing and implementing a </w:t>
      </w:r>
      <w:r w:rsidR="0005304C" w:rsidRPr="004B0954">
        <w:rPr>
          <w:rFonts w:ascii="Times New Roman" w:hAnsi="Times New Roman" w:cs="Times New Roman"/>
          <w:sz w:val="24"/>
          <w:szCs w:val="24"/>
        </w:rPr>
        <w:t>SEA/SH</w:t>
      </w:r>
      <w:r w:rsidR="00DF24EC" w:rsidRPr="004B0954">
        <w:rPr>
          <w:rFonts w:ascii="Times New Roman" w:hAnsi="Times New Roman" w:cs="Times New Roman"/>
          <w:sz w:val="24"/>
          <w:szCs w:val="24"/>
        </w:rPr>
        <w:t xml:space="preserve"> </w:t>
      </w:r>
      <w:r w:rsidR="0005304C" w:rsidRPr="004B0954">
        <w:rPr>
          <w:rFonts w:ascii="Times New Roman" w:hAnsi="Times New Roman" w:cs="Times New Roman"/>
          <w:sz w:val="24"/>
          <w:szCs w:val="24"/>
        </w:rPr>
        <w:t xml:space="preserve">prevention and response </w:t>
      </w:r>
      <w:r w:rsidR="00DF24EC" w:rsidRPr="004B0954">
        <w:rPr>
          <w:rFonts w:ascii="Times New Roman" w:hAnsi="Times New Roman" w:cs="Times New Roman"/>
          <w:sz w:val="24"/>
          <w:szCs w:val="24"/>
        </w:rPr>
        <w:t>action plan as part of the ESMF.</w:t>
      </w:r>
      <w:r w:rsidR="00041133" w:rsidRPr="004B0954">
        <w:rPr>
          <w:rFonts w:ascii="Times New Roman" w:hAnsi="Times New Roman" w:cs="Times New Roman"/>
          <w:sz w:val="24"/>
          <w:szCs w:val="24"/>
        </w:rPr>
        <w:t xml:space="preserve"> </w:t>
      </w:r>
    </w:p>
    <w:p w14:paraId="314CCA02" w14:textId="6AB41100" w:rsidR="00E23A97" w:rsidRPr="004B0954" w:rsidRDefault="00041133" w:rsidP="008A797E">
      <w:pPr>
        <w:spacing w:line="240" w:lineRule="auto"/>
        <w:jc w:val="both"/>
        <w:rPr>
          <w:rFonts w:ascii="Times New Roman" w:hAnsi="Times New Roman" w:cs="Times New Roman"/>
          <w:sz w:val="24"/>
          <w:szCs w:val="24"/>
        </w:rPr>
      </w:pPr>
      <w:r w:rsidRPr="004B0954">
        <w:rPr>
          <w:rFonts w:ascii="Times New Roman" w:hAnsi="Times New Roman" w:cs="Times New Roman"/>
          <w:sz w:val="24"/>
          <w:szCs w:val="24"/>
        </w:rPr>
        <w:t>GBV mostly affects women and girls due to the fact that in many cultures of Ethiopia, they are marginalized and have little or no power to make importa</w:t>
      </w:r>
      <w:r w:rsidR="00A467BA" w:rsidRPr="004B0954">
        <w:rPr>
          <w:rFonts w:ascii="Times New Roman" w:hAnsi="Times New Roman" w:cs="Times New Roman"/>
          <w:sz w:val="24"/>
          <w:szCs w:val="24"/>
        </w:rPr>
        <w:t>nt decisions about their lives.</w:t>
      </w:r>
      <w:r w:rsidR="00DF24EC" w:rsidRPr="004B0954">
        <w:rPr>
          <w:rFonts w:ascii="Times New Roman" w:hAnsi="Times New Roman" w:cs="Times New Roman"/>
          <w:sz w:val="24"/>
          <w:szCs w:val="24"/>
        </w:rPr>
        <w:t xml:space="preserve"> </w:t>
      </w:r>
      <w:r w:rsidR="00DF24EC" w:rsidRPr="004B0954">
        <w:rPr>
          <w:rFonts w:ascii="Times New Roman" w:hAnsi="Times New Roman" w:cs="Times New Roman"/>
          <w:bCs/>
          <w:sz w:val="24"/>
          <w:szCs w:val="24"/>
        </w:rPr>
        <w:t>T</w:t>
      </w:r>
      <w:r w:rsidR="00DB65D4" w:rsidRPr="004B0954">
        <w:rPr>
          <w:rFonts w:ascii="Times New Roman" w:hAnsi="Times New Roman" w:cs="Times New Roman"/>
          <w:bCs/>
          <w:sz w:val="24"/>
          <w:szCs w:val="24"/>
        </w:rPr>
        <w:t xml:space="preserve">heir </w:t>
      </w:r>
      <w:r w:rsidR="00DF24EC" w:rsidRPr="004B0954">
        <w:rPr>
          <w:rFonts w:ascii="Times New Roman" w:hAnsi="Times New Roman" w:cs="Times New Roman"/>
          <w:sz w:val="24"/>
          <w:szCs w:val="24"/>
        </w:rPr>
        <w:t xml:space="preserve">low status </w:t>
      </w:r>
      <w:r w:rsidRPr="004B0954">
        <w:rPr>
          <w:rFonts w:ascii="Times New Roman" w:hAnsi="Times New Roman" w:cs="Times New Roman"/>
          <w:sz w:val="24"/>
          <w:szCs w:val="24"/>
        </w:rPr>
        <w:t>in</w:t>
      </w:r>
      <w:r w:rsidR="00DF24EC" w:rsidRPr="004B0954">
        <w:rPr>
          <w:rFonts w:ascii="Times New Roman" w:hAnsi="Times New Roman" w:cs="Times New Roman"/>
          <w:sz w:val="24"/>
          <w:szCs w:val="24"/>
        </w:rPr>
        <w:t xml:space="preserve"> many communities, preexisting high prevalence of GBV and high levels of poverty, are all likely to be exacerbated by the locust infestation </w:t>
      </w:r>
      <w:r w:rsidR="002248E6" w:rsidRPr="004B0954">
        <w:rPr>
          <w:rFonts w:ascii="Times New Roman" w:hAnsi="Times New Roman" w:cs="Times New Roman"/>
          <w:sz w:val="24"/>
          <w:szCs w:val="24"/>
        </w:rPr>
        <w:t xml:space="preserve">and response </w:t>
      </w:r>
      <w:r w:rsidR="00DF24EC" w:rsidRPr="004B0954">
        <w:rPr>
          <w:rFonts w:ascii="Times New Roman" w:hAnsi="Times New Roman" w:cs="Times New Roman"/>
          <w:sz w:val="24"/>
          <w:szCs w:val="24"/>
        </w:rPr>
        <w:t xml:space="preserve">resulting in heightened vulnerability to GBV </w:t>
      </w:r>
      <w:r w:rsidR="00DD7B55" w:rsidRPr="004B0954">
        <w:rPr>
          <w:rFonts w:ascii="Times New Roman" w:hAnsi="Times New Roman" w:cs="Times New Roman"/>
          <w:sz w:val="24"/>
          <w:szCs w:val="24"/>
        </w:rPr>
        <w:t>in</w:t>
      </w:r>
      <w:r w:rsidR="00DF24EC" w:rsidRPr="004B0954">
        <w:rPr>
          <w:rFonts w:ascii="Times New Roman" w:hAnsi="Times New Roman" w:cs="Times New Roman"/>
          <w:sz w:val="24"/>
          <w:szCs w:val="24"/>
        </w:rPr>
        <w:t xml:space="preserve"> the community. With the possible deployment of external personnel including agricultural extension workers, contracted workers, and/or paramilitary cadets, to conduct ground spraying in these areas; communities may be</w:t>
      </w:r>
      <w:r w:rsidR="00FD0923" w:rsidRPr="004B0954">
        <w:rPr>
          <w:rFonts w:ascii="Times New Roman" w:hAnsi="Times New Roman" w:cs="Times New Roman"/>
          <w:sz w:val="24"/>
          <w:szCs w:val="24"/>
        </w:rPr>
        <w:t xml:space="preserve"> exposed to increased risks of S</w:t>
      </w:r>
      <w:r w:rsidR="00DF24EC" w:rsidRPr="004B0954">
        <w:rPr>
          <w:rFonts w:ascii="Times New Roman" w:hAnsi="Times New Roman" w:cs="Times New Roman"/>
          <w:sz w:val="24"/>
          <w:szCs w:val="24"/>
        </w:rPr>
        <w:t xml:space="preserve">exual </w:t>
      </w:r>
      <w:r w:rsidR="00FD0923" w:rsidRPr="004B0954">
        <w:rPr>
          <w:rFonts w:ascii="Times New Roman" w:hAnsi="Times New Roman" w:cs="Times New Roman"/>
          <w:sz w:val="24"/>
          <w:szCs w:val="24"/>
        </w:rPr>
        <w:t xml:space="preserve">Exploitation </w:t>
      </w:r>
      <w:r w:rsidR="00DF24EC" w:rsidRPr="004B0954">
        <w:rPr>
          <w:rFonts w:ascii="Times New Roman" w:hAnsi="Times New Roman" w:cs="Times New Roman"/>
          <w:sz w:val="24"/>
          <w:szCs w:val="24"/>
        </w:rPr>
        <w:t xml:space="preserve">and </w:t>
      </w:r>
      <w:r w:rsidR="00FD0923" w:rsidRPr="004B0954">
        <w:rPr>
          <w:rFonts w:ascii="Times New Roman" w:hAnsi="Times New Roman" w:cs="Times New Roman"/>
          <w:sz w:val="24"/>
          <w:szCs w:val="24"/>
        </w:rPr>
        <w:t>A</w:t>
      </w:r>
      <w:r w:rsidR="00DF24EC" w:rsidRPr="004B0954">
        <w:rPr>
          <w:rFonts w:ascii="Times New Roman" w:hAnsi="Times New Roman" w:cs="Times New Roman"/>
          <w:sz w:val="24"/>
          <w:szCs w:val="24"/>
        </w:rPr>
        <w:t>buse (SEA) by project workers. Moreover, GBV could result from intra household conflict over the receipt of cash</w:t>
      </w:r>
      <w:r w:rsidR="002248E6" w:rsidRPr="004B0954">
        <w:rPr>
          <w:rFonts w:ascii="Times New Roman" w:hAnsi="Times New Roman" w:cs="Times New Roman"/>
          <w:sz w:val="24"/>
          <w:szCs w:val="24"/>
        </w:rPr>
        <w:t>/livelihood support</w:t>
      </w:r>
      <w:r w:rsidR="00DF24EC" w:rsidRPr="004B0954">
        <w:rPr>
          <w:rFonts w:ascii="Times New Roman" w:hAnsi="Times New Roman" w:cs="Times New Roman"/>
          <w:sz w:val="24"/>
          <w:szCs w:val="24"/>
        </w:rPr>
        <w:t xml:space="preserve"> and/or sexual exploitation of community members who are extorted for sexual favors in exchange for registration</w:t>
      </w:r>
      <w:r w:rsidR="00ED3084" w:rsidRPr="004B0954">
        <w:rPr>
          <w:rFonts w:ascii="Times New Roman" w:hAnsi="Times New Roman" w:cs="Times New Roman"/>
          <w:sz w:val="24"/>
          <w:szCs w:val="24"/>
        </w:rPr>
        <w:t xml:space="preserve"> to benefit from</w:t>
      </w:r>
      <w:r w:rsidR="00DF24EC" w:rsidRPr="004B0954">
        <w:rPr>
          <w:rFonts w:ascii="Times New Roman" w:hAnsi="Times New Roman" w:cs="Times New Roman"/>
          <w:sz w:val="24"/>
          <w:szCs w:val="24"/>
        </w:rPr>
        <w:t xml:space="preserve"> or release of funds</w:t>
      </w:r>
      <w:r w:rsidR="00FD0923" w:rsidRPr="004B0954">
        <w:rPr>
          <w:rFonts w:ascii="Times New Roman" w:hAnsi="Times New Roman" w:cs="Times New Roman"/>
          <w:sz w:val="24"/>
          <w:szCs w:val="24"/>
        </w:rPr>
        <w:t xml:space="preserve"> as</w:t>
      </w:r>
      <w:r w:rsidR="00ED3084" w:rsidRPr="004B0954">
        <w:rPr>
          <w:rFonts w:ascii="Times New Roman" w:hAnsi="Times New Roman" w:cs="Times New Roman"/>
          <w:sz w:val="24"/>
          <w:szCs w:val="24"/>
        </w:rPr>
        <w:t xml:space="preserve"> </w:t>
      </w:r>
      <w:r w:rsidR="002248E6" w:rsidRPr="004B0954">
        <w:rPr>
          <w:rFonts w:ascii="Times New Roman" w:hAnsi="Times New Roman" w:cs="Times New Roman"/>
          <w:sz w:val="24"/>
          <w:szCs w:val="24"/>
        </w:rPr>
        <w:t>livelihood</w:t>
      </w:r>
      <w:r w:rsidR="00DB65D4" w:rsidRPr="004B0954">
        <w:rPr>
          <w:rFonts w:ascii="Times New Roman" w:hAnsi="Times New Roman" w:cs="Times New Roman"/>
          <w:sz w:val="24"/>
          <w:szCs w:val="24"/>
        </w:rPr>
        <w:t xml:space="preserve"> support</w:t>
      </w:r>
      <w:r w:rsidR="00DF24EC" w:rsidRPr="004B0954">
        <w:rPr>
          <w:rFonts w:ascii="Times New Roman" w:hAnsi="Times New Roman" w:cs="Times New Roman"/>
          <w:sz w:val="24"/>
          <w:szCs w:val="24"/>
        </w:rPr>
        <w:t xml:space="preserve">. Therefore, </w:t>
      </w:r>
      <w:r w:rsidR="00DF24EC" w:rsidRPr="004B0954">
        <w:rPr>
          <w:rFonts w:ascii="Times New Roman" w:eastAsiaTheme="minorEastAsia" w:hAnsi="Times New Roman" w:cs="Times New Roman"/>
          <w:sz w:val="24"/>
          <w:szCs w:val="24"/>
          <w:lang w:val="en-GB" w:eastAsia="zh-CN"/>
        </w:rPr>
        <w:t xml:space="preserve">the </w:t>
      </w:r>
      <w:r w:rsidR="00DB65D4" w:rsidRPr="004B0954">
        <w:rPr>
          <w:rFonts w:ascii="Times New Roman" w:eastAsiaTheme="minorEastAsia" w:hAnsi="Times New Roman" w:cs="Times New Roman"/>
          <w:sz w:val="24"/>
          <w:szCs w:val="24"/>
          <w:lang w:val="en-GB" w:eastAsia="zh-CN"/>
        </w:rPr>
        <w:t xml:space="preserve">SEA/SH </w:t>
      </w:r>
      <w:r w:rsidR="00DF24EC" w:rsidRPr="004B0954">
        <w:rPr>
          <w:rFonts w:ascii="Times New Roman" w:eastAsiaTheme="minorEastAsia" w:hAnsi="Times New Roman" w:cs="Times New Roman"/>
          <w:sz w:val="24"/>
          <w:szCs w:val="24"/>
          <w:lang w:val="en-GB" w:eastAsia="zh-CN"/>
        </w:rPr>
        <w:t xml:space="preserve">action plan is prepared in line with </w:t>
      </w:r>
      <w:r w:rsidR="00DF24EC" w:rsidRPr="004B0954">
        <w:rPr>
          <w:rFonts w:ascii="Times New Roman" w:hAnsi="Times New Roman" w:cs="Times New Roman"/>
          <w:sz w:val="24"/>
          <w:szCs w:val="24"/>
        </w:rPr>
        <w:t xml:space="preserve">the protocol laid out in the </w:t>
      </w:r>
      <w:r w:rsidR="00DB65D4" w:rsidRPr="004B0954">
        <w:rPr>
          <w:rFonts w:ascii="Times New Roman" w:hAnsi="Times New Roman" w:cs="Times New Roman"/>
          <w:sz w:val="24"/>
          <w:szCs w:val="24"/>
        </w:rPr>
        <w:t xml:space="preserve">WB </w:t>
      </w:r>
      <w:r w:rsidR="00251A46" w:rsidRPr="004B0954">
        <w:rPr>
          <w:rFonts w:ascii="Times New Roman" w:hAnsi="Times New Roman" w:cs="Times New Roman"/>
          <w:sz w:val="24"/>
          <w:szCs w:val="24"/>
        </w:rPr>
        <w:t xml:space="preserve">SEA/SH </w:t>
      </w:r>
      <w:r w:rsidR="00DF24EC" w:rsidRPr="004B0954">
        <w:rPr>
          <w:rFonts w:ascii="Times New Roman" w:hAnsi="Times New Roman" w:cs="Times New Roman"/>
          <w:sz w:val="24"/>
          <w:szCs w:val="24"/>
        </w:rPr>
        <w:t xml:space="preserve">Good Practice Note, for </w:t>
      </w:r>
      <w:r w:rsidR="00251A46" w:rsidRPr="004B0954">
        <w:rPr>
          <w:rFonts w:ascii="Times New Roman" w:hAnsi="Times New Roman" w:cs="Times New Roman"/>
          <w:sz w:val="24"/>
          <w:szCs w:val="24"/>
        </w:rPr>
        <w:t xml:space="preserve">the </w:t>
      </w:r>
      <w:r w:rsidR="00DF24EC" w:rsidRPr="004B0954">
        <w:rPr>
          <w:rFonts w:ascii="Times New Roman" w:hAnsi="Times New Roman" w:cs="Times New Roman"/>
          <w:sz w:val="24"/>
          <w:szCs w:val="24"/>
        </w:rPr>
        <w:t>Ethiopia Desert Locust Response Pro</w:t>
      </w:r>
      <w:r w:rsidR="006D793A" w:rsidRPr="004B0954">
        <w:rPr>
          <w:rFonts w:ascii="Times New Roman" w:hAnsi="Times New Roman" w:cs="Times New Roman"/>
          <w:sz w:val="24"/>
          <w:szCs w:val="24"/>
        </w:rPr>
        <w:t>ject</w:t>
      </w:r>
      <w:r w:rsidR="00DF24EC" w:rsidRPr="004B0954">
        <w:rPr>
          <w:rFonts w:ascii="Times New Roman" w:hAnsi="Times New Roman" w:cs="Times New Roman"/>
          <w:sz w:val="24"/>
          <w:szCs w:val="24"/>
        </w:rPr>
        <w:t xml:space="preserve">. </w:t>
      </w:r>
      <w:r w:rsidR="00C77FCD" w:rsidRPr="004B0954">
        <w:rPr>
          <w:rFonts w:ascii="Times New Roman" w:hAnsi="Times New Roman" w:cs="Times New Roman"/>
          <w:sz w:val="24"/>
          <w:szCs w:val="24"/>
        </w:rPr>
        <w:t>T</w:t>
      </w:r>
      <w:r w:rsidR="00DF24EC" w:rsidRPr="004B0954">
        <w:rPr>
          <w:rFonts w:ascii="Times New Roman" w:hAnsi="Times New Roman" w:cs="Times New Roman"/>
          <w:sz w:val="24"/>
          <w:szCs w:val="24"/>
        </w:rPr>
        <w:t xml:space="preserve">he </w:t>
      </w:r>
      <w:r w:rsidR="00251A46" w:rsidRPr="004B0954">
        <w:rPr>
          <w:rFonts w:ascii="Times New Roman" w:hAnsi="Times New Roman" w:cs="Times New Roman"/>
          <w:sz w:val="24"/>
          <w:szCs w:val="24"/>
        </w:rPr>
        <w:t>SEA/SH</w:t>
      </w:r>
      <w:r w:rsidR="00DF24EC" w:rsidRPr="004B0954">
        <w:rPr>
          <w:rFonts w:ascii="Times New Roman" w:hAnsi="Times New Roman" w:cs="Times New Roman"/>
          <w:sz w:val="24"/>
          <w:szCs w:val="24"/>
        </w:rPr>
        <w:t xml:space="preserve"> action plan</w:t>
      </w:r>
      <w:r w:rsidR="00C77FCD" w:rsidRPr="004B0954">
        <w:rPr>
          <w:rFonts w:ascii="Times New Roman" w:hAnsi="Times New Roman" w:cs="Times New Roman"/>
          <w:sz w:val="24"/>
          <w:szCs w:val="24"/>
        </w:rPr>
        <w:t xml:space="preserve"> </w:t>
      </w:r>
      <w:r w:rsidR="006D793A" w:rsidRPr="004B0954">
        <w:rPr>
          <w:rFonts w:ascii="Times New Roman" w:hAnsi="Times New Roman" w:cs="Times New Roman"/>
          <w:sz w:val="24"/>
          <w:szCs w:val="24"/>
        </w:rPr>
        <w:t xml:space="preserve">details the operational measures that will be put in place to prevent and respond to project related GBV including managing related grievances. It </w:t>
      </w:r>
      <w:r w:rsidR="00C77FCD" w:rsidRPr="004B0954">
        <w:rPr>
          <w:rFonts w:ascii="Times New Roman" w:hAnsi="Times New Roman" w:cs="Times New Roman"/>
          <w:sz w:val="24"/>
          <w:szCs w:val="24"/>
        </w:rPr>
        <w:t>incorporates</w:t>
      </w:r>
      <w:r w:rsidR="00DF24EC" w:rsidRPr="004B0954">
        <w:rPr>
          <w:rFonts w:ascii="Times New Roman" w:hAnsi="Times New Roman" w:cs="Times New Roman"/>
          <w:sz w:val="24"/>
          <w:szCs w:val="24"/>
        </w:rPr>
        <w:t xml:space="preserve"> code</w:t>
      </w:r>
      <w:r w:rsidR="00251A46" w:rsidRPr="004B0954">
        <w:rPr>
          <w:rFonts w:ascii="Times New Roman" w:hAnsi="Times New Roman" w:cs="Times New Roman"/>
          <w:sz w:val="24"/>
          <w:szCs w:val="24"/>
        </w:rPr>
        <w:t>s</w:t>
      </w:r>
      <w:r w:rsidR="00DF24EC" w:rsidRPr="004B0954">
        <w:rPr>
          <w:rFonts w:ascii="Times New Roman" w:hAnsi="Times New Roman" w:cs="Times New Roman"/>
          <w:sz w:val="24"/>
          <w:szCs w:val="24"/>
        </w:rPr>
        <w:t xml:space="preserve"> of conduct </w:t>
      </w:r>
      <w:r w:rsidR="00F2471C" w:rsidRPr="004B0954">
        <w:rPr>
          <w:rFonts w:ascii="Times New Roman" w:hAnsi="Times New Roman" w:cs="Times New Roman"/>
          <w:sz w:val="24"/>
          <w:szCs w:val="24"/>
        </w:rPr>
        <w:t xml:space="preserve">for project workers </w:t>
      </w:r>
      <w:r w:rsidR="00DF24EC" w:rsidRPr="004B0954">
        <w:rPr>
          <w:rFonts w:ascii="Times New Roman" w:hAnsi="Times New Roman" w:cs="Times New Roman"/>
          <w:sz w:val="24"/>
          <w:szCs w:val="24"/>
        </w:rPr>
        <w:t xml:space="preserve">and </w:t>
      </w:r>
      <w:r w:rsidR="00F2471C" w:rsidRPr="004B0954">
        <w:rPr>
          <w:rFonts w:ascii="Times New Roman" w:hAnsi="Times New Roman" w:cs="Times New Roman"/>
          <w:sz w:val="24"/>
          <w:szCs w:val="24"/>
        </w:rPr>
        <w:t xml:space="preserve">other </w:t>
      </w:r>
      <w:r w:rsidR="00DF24EC" w:rsidRPr="004B0954">
        <w:rPr>
          <w:rFonts w:ascii="Times New Roman" w:hAnsi="Times New Roman" w:cs="Times New Roman"/>
          <w:sz w:val="24"/>
          <w:szCs w:val="24"/>
        </w:rPr>
        <w:t>strateg</w:t>
      </w:r>
      <w:r w:rsidR="00F2471C" w:rsidRPr="004B0954">
        <w:rPr>
          <w:rFonts w:ascii="Times New Roman" w:hAnsi="Times New Roman" w:cs="Times New Roman"/>
          <w:sz w:val="24"/>
          <w:szCs w:val="24"/>
        </w:rPr>
        <w:t>ies</w:t>
      </w:r>
      <w:r w:rsidR="00DF24EC" w:rsidRPr="004B0954">
        <w:rPr>
          <w:rFonts w:ascii="Times New Roman" w:hAnsi="Times New Roman" w:cs="Times New Roman"/>
          <w:sz w:val="24"/>
          <w:szCs w:val="24"/>
        </w:rPr>
        <w:t xml:space="preserve"> to prevent risks of GBV from occurring and </w:t>
      </w:r>
      <w:r w:rsidR="00F2471C" w:rsidRPr="004B0954">
        <w:rPr>
          <w:rFonts w:ascii="Times New Roman" w:hAnsi="Times New Roman" w:cs="Times New Roman"/>
          <w:sz w:val="24"/>
          <w:szCs w:val="24"/>
        </w:rPr>
        <w:t xml:space="preserve">establishes procedures for </w:t>
      </w:r>
      <w:r w:rsidR="00B76C3D" w:rsidRPr="004B0954">
        <w:rPr>
          <w:rFonts w:ascii="Times New Roman" w:hAnsi="Times New Roman" w:cs="Times New Roman"/>
          <w:sz w:val="24"/>
          <w:szCs w:val="24"/>
        </w:rPr>
        <w:t>manag</w:t>
      </w:r>
      <w:r w:rsidR="00F2471C" w:rsidRPr="004B0954">
        <w:rPr>
          <w:rFonts w:ascii="Times New Roman" w:hAnsi="Times New Roman" w:cs="Times New Roman"/>
          <w:sz w:val="24"/>
          <w:szCs w:val="24"/>
        </w:rPr>
        <w:t xml:space="preserve">ing related grievances.  </w:t>
      </w:r>
      <w:r w:rsidR="00DF24EC" w:rsidRPr="004B0954">
        <w:rPr>
          <w:rFonts w:ascii="Times New Roman" w:hAnsi="Times New Roman" w:cs="Times New Roman"/>
          <w:sz w:val="24"/>
          <w:szCs w:val="24"/>
        </w:rPr>
        <w:t xml:space="preserve"> </w:t>
      </w:r>
      <w:r w:rsidR="005908C4" w:rsidRPr="004B0954">
        <w:rPr>
          <w:rFonts w:ascii="Times New Roman" w:hAnsi="Times New Roman" w:cs="Times New Roman"/>
          <w:sz w:val="24"/>
          <w:szCs w:val="24"/>
        </w:rPr>
        <w:t xml:space="preserve">The project should allocate appropriate budget to implement the SEA/SH action plan and </w:t>
      </w:r>
      <w:r w:rsidR="00D669A1" w:rsidRPr="004B0954">
        <w:rPr>
          <w:rFonts w:ascii="Times New Roman" w:hAnsi="Times New Roman" w:cs="Times New Roman"/>
          <w:sz w:val="24"/>
          <w:szCs w:val="24"/>
        </w:rPr>
        <w:t>assign</w:t>
      </w:r>
      <w:r w:rsidR="00546E4B" w:rsidRPr="004B0954">
        <w:rPr>
          <w:rFonts w:ascii="Times New Roman" w:hAnsi="Times New Roman" w:cs="Times New Roman"/>
          <w:sz w:val="24"/>
          <w:szCs w:val="24"/>
        </w:rPr>
        <w:t xml:space="preserve"> the social development specialist</w:t>
      </w:r>
      <w:r w:rsidR="00D669A1" w:rsidRPr="004B0954">
        <w:rPr>
          <w:rFonts w:ascii="Times New Roman" w:hAnsi="Times New Roman" w:cs="Times New Roman"/>
          <w:sz w:val="24"/>
          <w:szCs w:val="24"/>
        </w:rPr>
        <w:t xml:space="preserve"> to serve as a SEA/SH</w:t>
      </w:r>
      <w:r w:rsidR="005908C4" w:rsidRPr="004B0954">
        <w:rPr>
          <w:rFonts w:ascii="Times New Roman" w:hAnsi="Times New Roman" w:cs="Times New Roman"/>
          <w:sz w:val="24"/>
          <w:szCs w:val="24"/>
        </w:rPr>
        <w:t xml:space="preserve"> GBV </w:t>
      </w:r>
      <w:r w:rsidR="00B26112" w:rsidRPr="004B0954">
        <w:rPr>
          <w:rFonts w:ascii="Times New Roman" w:hAnsi="Times New Roman" w:cs="Times New Roman"/>
          <w:sz w:val="24"/>
          <w:szCs w:val="24"/>
        </w:rPr>
        <w:t>focal person</w:t>
      </w:r>
      <w:r w:rsidR="005908C4" w:rsidRPr="004B0954">
        <w:rPr>
          <w:rFonts w:ascii="Times New Roman" w:hAnsi="Times New Roman" w:cs="Times New Roman"/>
          <w:sz w:val="24"/>
          <w:szCs w:val="24"/>
        </w:rPr>
        <w:t xml:space="preserve"> to oversee the implementation of activities. </w:t>
      </w:r>
      <w:r w:rsidR="00DF24EC" w:rsidRPr="004B0954">
        <w:rPr>
          <w:rFonts w:ascii="Times New Roman" w:hAnsi="Times New Roman" w:cs="Times New Roman"/>
          <w:sz w:val="24"/>
          <w:szCs w:val="24"/>
        </w:rPr>
        <w:t xml:space="preserve">For its implementation, allocating an appropriate budget is required. </w:t>
      </w:r>
    </w:p>
    <w:p w14:paraId="7C5392DD" w14:textId="77777777" w:rsidR="00DF24EC" w:rsidRPr="004B0954" w:rsidRDefault="00DF24EC" w:rsidP="00DF24EC">
      <w:pPr>
        <w:pStyle w:val="Heading2"/>
        <w:jc w:val="both"/>
        <w:rPr>
          <w:rFonts w:ascii="Times New Roman" w:hAnsi="Times New Roman" w:cs="Times New Roman"/>
          <w:color w:val="auto"/>
          <w:sz w:val="24"/>
          <w:szCs w:val="24"/>
        </w:rPr>
      </w:pPr>
      <w:bookmarkStart w:id="6" w:name="_Toc39565471"/>
      <w:bookmarkStart w:id="7" w:name="_Toc40731670"/>
      <w:bookmarkStart w:id="8" w:name="_Toc48854794"/>
      <w:r w:rsidRPr="004B0954">
        <w:rPr>
          <w:rFonts w:ascii="Times New Roman" w:hAnsi="Times New Roman" w:cs="Times New Roman"/>
          <w:color w:val="auto"/>
          <w:sz w:val="24"/>
          <w:szCs w:val="24"/>
        </w:rPr>
        <w:t>1.2. Description of the Project</w:t>
      </w:r>
      <w:bookmarkEnd w:id="6"/>
      <w:bookmarkEnd w:id="7"/>
      <w:bookmarkEnd w:id="8"/>
    </w:p>
    <w:p w14:paraId="2D363587" w14:textId="18FD269C" w:rsidR="00DF24EC" w:rsidRPr="004B0954" w:rsidRDefault="00DF24EC" w:rsidP="0004618B">
      <w:pPr>
        <w:spacing w:before="240"/>
        <w:jc w:val="both"/>
        <w:rPr>
          <w:rFonts w:ascii="Times New Roman" w:hAnsi="Times New Roman" w:cs="Times New Roman"/>
          <w:sz w:val="24"/>
          <w:szCs w:val="24"/>
        </w:rPr>
      </w:pPr>
      <w:r w:rsidRPr="004B0954">
        <w:rPr>
          <w:rFonts w:ascii="Times New Roman" w:hAnsi="Times New Roman" w:cs="Times New Roman"/>
          <w:sz w:val="24"/>
          <w:szCs w:val="24"/>
        </w:rPr>
        <w:t xml:space="preserve">The aim of the Desert Locust Response Program is to prevent and respond to the threat to </w:t>
      </w:r>
      <w:bookmarkStart w:id="9" w:name="_GoBack"/>
      <w:bookmarkEnd w:id="9"/>
      <w:r w:rsidRPr="004B0954">
        <w:rPr>
          <w:rFonts w:ascii="Times New Roman" w:hAnsi="Times New Roman" w:cs="Times New Roman"/>
          <w:sz w:val="24"/>
          <w:szCs w:val="24"/>
        </w:rPr>
        <w:t>livelihoods posed by the desert locust outbreak and to strengthen national and regional systems for preparedness. The Program objectives would be achieved by supporting investments across three pillars as per the regional approach to the desert locust outbreak response: (a) monitoring and controlling locust population growth and curbing the spread of swarms while mitigating the risks associated with control measures; (b) protecting livelihoods of locust-affected households to prevent asset loss, and return them to productivity; and (c) preventing future locust upsurges by strengthening capacity for ex ante surveillance and control operations to facilitate early warning and early response. The total funding</w:t>
      </w:r>
      <w:r w:rsidR="000704FF" w:rsidRPr="004B0954">
        <w:rPr>
          <w:rFonts w:ascii="Times New Roman" w:hAnsi="Times New Roman" w:cs="Times New Roman"/>
          <w:sz w:val="24"/>
          <w:szCs w:val="24"/>
        </w:rPr>
        <w:t xml:space="preserve"> amount during the additional Finance </w:t>
      </w:r>
      <w:r w:rsidRPr="004B0954">
        <w:rPr>
          <w:rFonts w:ascii="Times New Roman" w:hAnsi="Times New Roman" w:cs="Times New Roman"/>
          <w:sz w:val="24"/>
          <w:szCs w:val="24"/>
        </w:rPr>
        <w:t xml:space="preserve"> </w:t>
      </w:r>
      <w:r w:rsidR="000704FF" w:rsidRPr="004B0954">
        <w:rPr>
          <w:rFonts w:ascii="Times New Roman" w:hAnsi="Times New Roman" w:cs="Times New Roman"/>
          <w:sz w:val="24"/>
          <w:szCs w:val="24"/>
        </w:rPr>
        <w:t xml:space="preserve">for EELRP </w:t>
      </w:r>
      <w:r w:rsidRPr="004B0954">
        <w:rPr>
          <w:rFonts w:ascii="Times New Roman" w:hAnsi="Times New Roman" w:cs="Times New Roman"/>
          <w:sz w:val="24"/>
          <w:szCs w:val="24"/>
        </w:rPr>
        <w:t xml:space="preserve">will be US$  </w:t>
      </w:r>
      <w:r w:rsidR="000704FF" w:rsidRPr="004B0954">
        <w:rPr>
          <w:rFonts w:ascii="Times New Roman" w:hAnsi="Times New Roman" w:cs="Times New Roman"/>
          <w:sz w:val="24"/>
          <w:szCs w:val="24"/>
        </w:rPr>
        <w:t>60</w:t>
      </w:r>
      <w:r w:rsidR="00DF42BF" w:rsidRPr="004B0954">
        <w:rPr>
          <w:rFonts w:ascii="Times New Roman" w:hAnsi="Times New Roman" w:cs="Times New Roman"/>
          <w:sz w:val="24"/>
          <w:szCs w:val="24"/>
        </w:rPr>
        <w:t xml:space="preserve">.00 </w:t>
      </w:r>
      <w:r w:rsidRPr="004B0954">
        <w:rPr>
          <w:rFonts w:ascii="Times New Roman" w:hAnsi="Times New Roman" w:cs="Times New Roman"/>
          <w:sz w:val="24"/>
          <w:szCs w:val="24"/>
        </w:rPr>
        <w:t>million. The proposed project includes three components and discussed as follows:</w:t>
      </w:r>
    </w:p>
    <w:p w14:paraId="13B03EA8" w14:textId="42BF00F1"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Component 1: Locust monitoring and control (US$ </w:t>
      </w:r>
      <w:r w:rsidR="000704FF" w:rsidRPr="004B0954">
        <w:rPr>
          <w:rFonts w:ascii="Times New Roman" w:hAnsi="Times New Roman" w:cs="Times New Roman"/>
          <w:b/>
          <w:bCs/>
          <w:sz w:val="24"/>
          <w:szCs w:val="24"/>
        </w:rPr>
        <w:t xml:space="preserve"> 13, 929, 914.38 </w:t>
      </w:r>
      <w:r w:rsidRPr="004B0954">
        <w:rPr>
          <w:rFonts w:ascii="Times New Roman" w:hAnsi="Times New Roman" w:cs="Times New Roman"/>
          <w:b/>
          <w:bCs/>
          <w:sz w:val="24"/>
          <w:szCs w:val="24"/>
        </w:rPr>
        <w:t xml:space="preserve">million): </w:t>
      </w:r>
      <w:r w:rsidRPr="004B0954">
        <w:rPr>
          <w:rFonts w:ascii="Times New Roman" w:hAnsi="Times New Roman" w:cs="Times New Roman"/>
          <w:sz w:val="24"/>
          <w:szCs w:val="24"/>
        </w:rPr>
        <w:t xml:space="preserve">The project will adopt two pronged approaches for locust monitoring and control under this component: (a) direct support to improving surveillance and assessment of locusts’ situation, habitat conditions and geographic exposure as well as targeted aerial and ground spraying; and, (b) capacity building for relevant national institutions and communities prone to locust breeding and invasion. There are three subcomponents of </w:t>
      </w:r>
      <w:r w:rsidRPr="004B0954">
        <w:rPr>
          <w:rFonts w:ascii="Times New Roman" w:hAnsi="Times New Roman" w:cs="Times New Roman"/>
          <w:b/>
          <w:sz w:val="24"/>
          <w:szCs w:val="24"/>
        </w:rPr>
        <w:t>component 1</w:t>
      </w:r>
      <w:r w:rsidRPr="004B0954">
        <w:rPr>
          <w:rFonts w:ascii="Times New Roman" w:hAnsi="Times New Roman" w:cs="Times New Roman"/>
          <w:sz w:val="24"/>
          <w:szCs w:val="24"/>
        </w:rPr>
        <w:t xml:space="preserve">: </w:t>
      </w:r>
    </w:p>
    <w:p w14:paraId="6B6078DD" w14:textId="77777777"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Sub-component 1.1: Continuous Surveillance </w:t>
      </w:r>
      <w:r w:rsidRPr="004B0954">
        <w:rPr>
          <w:rFonts w:ascii="Times New Roman" w:hAnsi="Times New Roman" w:cs="Times New Roman"/>
          <w:sz w:val="24"/>
          <w:szCs w:val="24"/>
        </w:rPr>
        <w:t>to inform effective control operations and identification of affected and at-risk communities for assistance under Component 2.  Under the sub-component, the project will finance procurement of equipment and operational costs to deploy expert teams and drones for the collection of data at strategic locations, reporting occurrences and possible occurrences of outbreaks, and assessing geographic exposure to locusts.  Support to community-based monitoring and forecasting in both pastoralist and farming communities prone to locust breeding and invasion will also be provided including training of scouts and sensitization campaigns for community/village leaders.</w:t>
      </w:r>
    </w:p>
    <w:p w14:paraId="6F099B36" w14:textId="3C9BF4E5"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Sub-component 1.2: Control measures </w:t>
      </w:r>
      <w:r w:rsidRPr="004B0954">
        <w:rPr>
          <w:rFonts w:ascii="Times New Roman" w:hAnsi="Times New Roman" w:cs="Times New Roman"/>
          <w:sz w:val="24"/>
          <w:szCs w:val="24"/>
        </w:rPr>
        <w:t>to reduce locust populations and prevent their spread to new areas through targeted ground and aerial control operations. Activities include procurement/rental of equipment (sprayers, vehicles, drones, aircrafts), support to field operations (aerial and ground operations)</w:t>
      </w:r>
      <w:r w:rsidR="005D35FF" w:rsidRPr="004B0954">
        <w:rPr>
          <w:rFonts w:ascii="Times New Roman" w:hAnsi="Times New Roman" w:cs="Times New Roman"/>
          <w:sz w:val="24"/>
          <w:szCs w:val="24"/>
        </w:rPr>
        <w:t xml:space="preserve"> </w:t>
      </w:r>
      <w:r w:rsidRPr="004B0954">
        <w:rPr>
          <w:rFonts w:ascii="Times New Roman" w:hAnsi="Times New Roman" w:cs="Times New Roman"/>
          <w:sz w:val="24"/>
          <w:szCs w:val="24"/>
        </w:rPr>
        <w:t xml:space="preserve">input for field operations will be provided to the MoA through FAO.  In addition, awareness raising and training for farmers, scouts, experts and officials at different levels (including training on pesticide management and control) will be provided. </w:t>
      </w:r>
    </w:p>
    <w:p w14:paraId="5E945A3B" w14:textId="77777777"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Sub-component 1.3: Risk reduction and management </w:t>
      </w:r>
      <w:r w:rsidRPr="004B0954">
        <w:rPr>
          <w:rFonts w:ascii="Times New Roman" w:hAnsi="Times New Roman" w:cs="Times New Roman"/>
          <w:sz w:val="24"/>
          <w:szCs w:val="24"/>
        </w:rPr>
        <w:t>to monitor and assess environmental and human health risks associated with locust control and implement health, environmental and safety measures to reduce risks to an acceptable minimum.  A detailed pest management plan (PMP) will be developed and closely monitored as part of the Project Implementation Manual (PIM) to mitigate any environmental impacts of chemical and pesticide use. Activities would include: i) testing of human health and soil and water for contamination from use of insecticides; ii) optimizing the selection of control strategies, protection measures, and insecticides based on situational and environmental assessments; and iii) providing safety and awareness training for spraying teams and other locust control personnel as well as public awareness campaigns on possible environmental and health effects of insecticides, before, during and after locust control operations.</w:t>
      </w:r>
    </w:p>
    <w:p w14:paraId="7C566DC2" w14:textId="34940853"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Component 2: Livelihood protection and restoration (US$  </w:t>
      </w:r>
      <w:r w:rsidR="000704FF" w:rsidRPr="004B0954">
        <w:rPr>
          <w:rFonts w:ascii="Times New Roman" w:hAnsi="Times New Roman" w:cs="Times New Roman"/>
          <w:b/>
          <w:bCs/>
          <w:sz w:val="24"/>
          <w:szCs w:val="24"/>
        </w:rPr>
        <w:t>31, 354, 175, .07</w:t>
      </w:r>
      <w:r w:rsidRPr="004B0954">
        <w:rPr>
          <w:rFonts w:ascii="Times New Roman" w:hAnsi="Times New Roman" w:cs="Times New Roman"/>
          <w:b/>
          <w:bCs/>
          <w:sz w:val="24"/>
          <w:szCs w:val="24"/>
        </w:rPr>
        <w:t>million)</w:t>
      </w:r>
      <w:r w:rsidRPr="004B0954">
        <w:rPr>
          <w:rFonts w:ascii="Times New Roman" w:hAnsi="Times New Roman" w:cs="Times New Roman"/>
          <w:sz w:val="24"/>
          <w:szCs w:val="24"/>
        </w:rPr>
        <w:t>. Under this component, the project will provide a seed-fertilizer-pesticide package to selected farmers to ensure planting in the upcoming cropping season and, in pastoralist areas, fodder to guard against further livestock losses and thus loss of their main productive assets. Additionally, the project will provide fodder seed to affected communities to rehabilitate pastures in rangeland areas depleted by the desert locust invasion. The GoE will also trigger emergency food security mechanisms such as the emergency food appeal and contingency funding under PSNP IV that will complement the project’s livelihood support initiatives with cash transfers to cover emergency food needs and to protect against distress sales of assets. There are two sub-components:</w:t>
      </w:r>
    </w:p>
    <w:p w14:paraId="1ABDB400" w14:textId="77777777"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Sub-component 2.1: Livelihoods Support:</w:t>
      </w:r>
      <w:r w:rsidRPr="004B0954">
        <w:rPr>
          <w:rFonts w:ascii="Times New Roman" w:hAnsi="Times New Roman" w:cs="Times New Roman"/>
          <w:sz w:val="24"/>
          <w:szCs w:val="24"/>
        </w:rPr>
        <w:t xml:space="preserve"> This component would be achieved through delivering (i) farmer packages to get food and fodder production re-started as soon as possible after the impact of locust swarms has been assessed and the scope of the damage is determined; and, (ii) forage to the affected pastoral households.</w:t>
      </w:r>
    </w:p>
    <w:p w14:paraId="7AAF15AD" w14:textId="77777777"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Sub-component 2.2: Pasture rehabilitation</w:t>
      </w:r>
      <w:r w:rsidRPr="004B0954">
        <w:rPr>
          <w:rFonts w:ascii="Times New Roman" w:hAnsi="Times New Roman" w:cs="Times New Roman"/>
          <w:sz w:val="24"/>
          <w:szCs w:val="24"/>
        </w:rPr>
        <w:t xml:space="preserve"> will cover an estimated area of 81,000 hectares. Activities will include: (i) temporary forage/feed provision in pastoralist areas impacted by the locust outbreak for short term pasture improvement; and, (ii) compensation for unintended damages that may result from accidental pesticides spray impacts beyond the defined buffer zone on people, livestock, agricultural produce and livestock feed. </w:t>
      </w:r>
    </w:p>
    <w:p w14:paraId="29DF7819" w14:textId="77777777"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sz w:val="24"/>
          <w:szCs w:val="24"/>
        </w:rPr>
        <w:t xml:space="preserve">The procurement of inputs, such as crop and fodder seed will be carried out by RBoAs (or Pastoral Community Development Offices) from existing seed sources including Government Seed Enterprise, Agricultural Cooperative Unions and/or Private Seed Producing Enterprises. Bulk procurement method at regional levels will enable to ensure that the right type and amount of inputs are purchased for each agro-ecological zone. Inputs provision to farmer packets would aim to diversify production and introduce improved varieties that provide for higher yields and are resistant to pest/disease and other threats. Pasture restoration would be done in most areas by establishing nurseries throughout the affected area to re-establish pasture flora. Both crop and pasture restoration would need to support plantings that would promote the restoration of pollinator populations in the affected area. </w:t>
      </w:r>
    </w:p>
    <w:p w14:paraId="7D0F206F" w14:textId="2E102BC6"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Component 3: Strengthening Early Warning Systems and Preparedness (US$  </w:t>
      </w:r>
      <w:r w:rsidR="000704FF" w:rsidRPr="004B0954">
        <w:rPr>
          <w:rFonts w:ascii="Times New Roman" w:hAnsi="Times New Roman" w:cs="Times New Roman"/>
          <w:b/>
          <w:bCs/>
          <w:sz w:val="24"/>
          <w:szCs w:val="24"/>
        </w:rPr>
        <w:t xml:space="preserve"> 11, 715, 911.18 </w:t>
      </w:r>
      <w:r w:rsidRPr="004B0954">
        <w:rPr>
          <w:rFonts w:ascii="Times New Roman" w:hAnsi="Times New Roman" w:cs="Times New Roman"/>
          <w:b/>
          <w:bCs/>
          <w:sz w:val="24"/>
          <w:szCs w:val="24"/>
        </w:rPr>
        <w:t>million).</w:t>
      </w:r>
      <w:r w:rsidRPr="004B0954">
        <w:rPr>
          <w:rFonts w:ascii="Times New Roman" w:hAnsi="Times New Roman" w:cs="Times New Roman"/>
          <w:sz w:val="24"/>
          <w:szCs w:val="24"/>
        </w:rPr>
        <w:t xml:space="preserve">  Under this component, the project would assist the Ethiopia MoA in establishing an integrated system for locust detection, occurrence projection, early warning and systematic data analysis and comprehension. Activities include acquisition of state-of-the-art data collection and dissemination tools and improving data collection methods, building analytical capacity for understanding data, assessment of current strengths and weaknesses in locust occurrence projection and early warning systems and development of a roadmap on how best to develop the systems based on international best practice.  It also includes capacity building for federal and regional experts using both national and international experts as well as technical assistance through appointing senior plant protection experts to work with regional desert locust control units.  </w:t>
      </w:r>
    </w:p>
    <w:p w14:paraId="485C3BDC" w14:textId="3D6C19AE"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b/>
          <w:bCs/>
          <w:sz w:val="24"/>
          <w:szCs w:val="24"/>
        </w:rPr>
        <w:t xml:space="preserve">Component 4: Project Management (US$  </w:t>
      </w:r>
      <w:r w:rsidR="000704FF" w:rsidRPr="004B0954">
        <w:rPr>
          <w:rFonts w:ascii="Times New Roman" w:hAnsi="Times New Roman" w:cs="Times New Roman"/>
          <w:b/>
          <w:bCs/>
          <w:sz w:val="24"/>
          <w:szCs w:val="24"/>
        </w:rPr>
        <w:t xml:space="preserve"> 2, 999, 999.37 </w:t>
      </w:r>
      <w:r w:rsidRPr="004B0954">
        <w:rPr>
          <w:rFonts w:ascii="Times New Roman" w:hAnsi="Times New Roman" w:cs="Times New Roman"/>
          <w:b/>
          <w:bCs/>
          <w:sz w:val="24"/>
          <w:szCs w:val="24"/>
        </w:rPr>
        <w:t xml:space="preserve">million). </w:t>
      </w:r>
      <w:r w:rsidRPr="004B0954">
        <w:rPr>
          <w:rFonts w:ascii="Times New Roman" w:hAnsi="Times New Roman" w:cs="Times New Roman"/>
          <w:sz w:val="24"/>
          <w:szCs w:val="24"/>
        </w:rPr>
        <w:t xml:space="preserve"> Under this component, financing will be provided for (a) the hiring of a pest management expert; and, (b) operating costs for monitoring (particularly related to financial management and safeguards), technical backstopping at different levels; and (c) communication and information exchange. The project will be implemented by the Plant Protection Directorates (PPDs) within the RBoAs of each regional state within the desert locust invasion area under the oversight of the MoA.  Project management activities will be carried out in the PSNP IV Project Implementation Unit (PIU) and MOA.  </w:t>
      </w:r>
    </w:p>
    <w:p w14:paraId="15713261" w14:textId="77777777" w:rsidR="00DF24EC" w:rsidRPr="004B0954" w:rsidRDefault="00DF24EC" w:rsidP="00DF24EC">
      <w:pPr>
        <w:pStyle w:val="Heading1"/>
        <w:jc w:val="both"/>
        <w:rPr>
          <w:rFonts w:ascii="Times New Roman" w:hAnsi="Times New Roman" w:cs="Times New Roman"/>
          <w:color w:val="auto"/>
          <w:sz w:val="24"/>
          <w:szCs w:val="24"/>
        </w:rPr>
      </w:pPr>
      <w:bookmarkStart w:id="10" w:name="_Toc39565472"/>
      <w:bookmarkStart w:id="11" w:name="_Toc40731671"/>
      <w:bookmarkStart w:id="12" w:name="_Toc48854795"/>
      <w:r w:rsidRPr="004B0954">
        <w:rPr>
          <w:rFonts w:ascii="Times New Roman" w:hAnsi="Times New Roman" w:cs="Times New Roman"/>
          <w:color w:val="auto"/>
          <w:sz w:val="24"/>
          <w:szCs w:val="24"/>
        </w:rPr>
        <w:t xml:space="preserve">2. Addressing Gender Based Violence (GBV) and Sexual Exploitation and Abuse (SEA) Risks in </w:t>
      </w:r>
      <w:r w:rsidRPr="004B0954">
        <w:rPr>
          <w:rFonts w:ascii="Times New Roman" w:hAnsi="Times New Roman" w:cs="Times New Roman"/>
          <w:bCs/>
          <w:color w:val="auto"/>
          <w:sz w:val="24"/>
          <w:szCs w:val="24"/>
        </w:rPr>
        <w:t>Ethiopia Locust Response Project</w:t>
      </w:r>
      <w:bookmarkEnd w:id="10"/>
      <w:bookmarkEnd w:id="11"/>
      <w:bookmarkEnd w:id="12"/>
    </w:p>
    <w:p w14:paraId="32A66358" w14:textId="77777777" w:rsidR="00DF24EC" w:rsidRPr="004B0954" w:rsidRDefault="00DF24EC" w:rsidP="00DF24EC">
      <w:pPr>
        <w:pStyle w:val="Heading2"/>
        <w:jc w:val="both"/>
        <w:rPr>
          <w:rFonts w:ascii="Times New Roman" w:hAnsi="Times New Roman" w:cs="Times New Roman"/>
          <w:color w:val="auto"/>
          <w:sz w:val="24"/>
          <w:szCs w:val="24"/>
        </w:rPr>
      </w:pPr>
    </w:p>
    <w:p w14:paraId="343DF1F9" w14:textId="7721FE60" w:rsidR="00DF24EC" w:rsidRPr="004B0954" w:rsidRDefault="00DF24EC" w:rsidP="00DF24EC">
      <w:pPr>
        <w:jc w:val="both"/>
        <w:rPr>
          <w:rFonts w:ascii="Times New Roman" w:hAnsi="Times New Roman" w:cs="Times New Roman"/>
          <w:sz w:val="24"/>
          <w:szCs w:val="24"/>
        </w:rPr>
      </w:pPr>
      <w:r w:rsidRPr="004B0954">
        <w:rPr>
          <w:rFonts w:ascii="Times New Roman" w:hAnsi="Times New Roman" w:cs="Times New Roman"/>
          <w:sz w:val="24"/>
          <w:szCs w:val="24"/>
        </w:rPr>
        <w:t xml:space="preserve">The World Bank Group recognizes that World Bank-financed </w:t>
      </w:r>
      <w:r w:rsidR="00857BE5" w:rsidRPr="004B0954">
        <w:rPr>
          <w:rFonts w:ascii="Times New Roman" w:hAnsi="Times New Roman" w:cs="Times New Roman"/>
          <w:sz w:val="24"/>
          <w:szCs w:val="24"/>
        </w:rPr>
        <w:t>p</w:t>
      </w:r>
      <w:r w:rsidRPr="004B0954">
        <w:rPr>
          <w:rFonts w:ascii="Times New Roman" w:hAnsi="Times New Roman" w:cs="Times New Roman"/>
          <w:sz w:val="24"/>
          <w:szCs w:val="24"/>
        </w:rPr>
        <w:t xml:space="preserve">rojects </w:t>
      </w:r>
      <w:r w:rsidR="009B724B" w:rsidRPr="004B0954">
        <w:rPr>
          <w:rFonts w:ascii="Times New Roman" w:hAnsi="Times New Roman" w:cs="Times New Roman"/>
          <w:sz w:val="24"/>
          <w:szCs w:val="24"/>
        </w:rPr>
        <w:t>can</w:t>
      </w:r>
      <w:r w:rsidRPr="004B0954">
        <w:rPr>
          <w:rFonts w:ascii="Times New Roman" w:hAnsi="Times New Roman" w:cs="Times New Roman"/>
          <w:sz w:val="24"/>
          <w:szCs w:val="24"/>
        </w:rPr>
        <w:t xml:space="preserve"> increase the risk of GBV in both public and private spaces by a range of perpetrators in several ways. Based on </w:t>
      </w:r>
      <w:r w:rsidR="009B724B" w:rsidRPr="004B0954">
        <w:rPr>
          <w:rFonts w:ascii="Times New Roman" w:hAnsi="Times New Roman" w:cs="Times New Roman"/>
          <w:sz w:val="24"/>
          <w:szCs w:val="24"/>
        </w:rPr>
        <w:t xml:space="preserve">the </w:t>
      </w:r>
      <w:r w:rsidRPr="004B0954">
        <w:rPr>
          <w:rFonts w:ascii="Times New Roman" w:hAnsi="Times New Roman" w:cs="Times New Roman"/>
          <w:sz w:val="24"/>
          <w:szCs w:val="24"/>
        </w:rPr>
        <w:t xml:space="preserve">protocol laid out in the </w:t>
      </w:r>
      <w:r w:rsidR="009B724B" w:rsidRPr="004B0954">
        <w:rPr>
          <w:rFonts w:ascii="Times New Roman" w:hAnsi="Times New Roman" w:cs="Times New Roman"/>
          <w:sz w:val="24"/>
          <w:szCs w:val="24"/>
        </w:rPr>
        <w:t>WB SEA/SH</w:t>
      </w:r>
      <w:r w:rsidRPr="004B0954">
        <w:rPr>
          <w:rFonts w:ascii="Times New Roman" w:hAnsi="Times New Roman" w:cs="Times New Roman"/>
          <w:sz w:val="24"/>
          <w:szCs w:val="24"/>
        </w:rPr>
        <w:t xml:space="preserve"> Good Practice Note, </w:t>
      </w:r>
      <w:r w:rsidR="008E45F1" w:rsidRPr="004B0954">
        <w:rPr>
          <w:rFonts w:ascii="Times New Roman" w:hAnsi="Times New Roman" w:cs="Times New Roman"/>
          <w:sz w:val="24"/>
          <w:szCs w:val="24"/>
        </w:rPr>
        <w:t xml:space="preserve">a GBV risk </w:t>
      </w:r>
      <w:r w:rsidRPr="004B0954">
        <w:rPr>
          <w:rFonts w:ascii="Times New Roman" w:hAnsi="Times New Roman" w:cs="Times New Roman"/>
          <w:sz w:val="24"/>
          <w:szCs w:val="24"/>
        </w:rPr>
        <w:t xml:space="preserve">assessment </w:t>
      </w:r>
      <w:r w:rsidR="008E45F1" w:rsidRPr="004B0954">
        <w:rPr>
          <w:rFonts w:ascii="Times New Roman" w:hAnsi="Times New Roman" w:cs="Times New Roman"/>
          <w:sz w:val="24"/>
          <w:szCs w:val="24"/>
        </w:rPr>
        <w:t xml:space="preserve">was </w:t>
      </w:r>
      <w:r w:rsidR="00F254E3" w:rsidRPr="004B0954">
        <w:rPr>
          <w:rFonts w:ascii="Times New Roman" w:hAnsi="Times New Roman" w:cs="Times New Roman"/>
          <w:sz w:val="24"/>
          <w:szCs w:val="24"/>
        </w:rPr>
        <w:t>conducted</w:t>
      </w:r>
      <w:r w:rsidRPr="004B0954">
        <w:rPr>
          <w:rFonts w:ascii="Times New Roman" w:hAnsi="Times New Roman" w:cs="Times New Roman"/>
          <w:sz w:val="24"/>
          <w:szCs w:val="24"/>
        </w:rPr>
        <w:t xml:space="preserve"> </w:t>
      </w:r>
      <w:r w:rsidR="00D53310" w:rsidRPr="004B0954">
        <w:rPr>
          <w:rFonts w:ascii="Times New Roman" w:hAnsi="Times New Roman" w:cs="Times New Roman"/>
          <w:sz w:val="24"/>
          <w:szCs w:val="24"/>
        </w:rPr>
        <w:t>on</w:t>
      </w:r>
      <w:r w:rsidRPr="004B0954">
        <w:rPr>
          <w:rFonts w:ascii="Times New Roman" w:hAnsi="Times New Roman" w:cs="Times New Roman"/>
          <w:sz w:val="24"/>
          <w:szCs w:val="24"/>
        </w:rPr>
        <w:t xml:space="preserve"> the </w:t>
      </w:r>
      <w:r w:rsidRPr="004B0954">
        <w:rPr>
          <w:rFonts w:ascii="Times New Roman" w:hAnsi="Times New Roman" w:cs="Times New Roman"/>
          <w:bCs/>
          <w:sz w:val="24"/>
          <w:szCs w:val="24"/>
        </w:rPr>
        <w:t>Ethiopia locust response project</w:t>
      </w:r>
      <w:r w:rsidRPr="004B0954">
        <w:rPr>
          <w:rFonts w:ascii="Times New Roman" w:hAnsi="Times New Roman" w:cs="Times New Roman"/>
          <w:sz w:val="24"/>
          <w:szCs w:val="24"/>
        </w:rPr>
        <w:t xml:space="preserve"> and </w:t>
      </w:r>
      <w:r w:rsidR="00F254E3" w:rsidRPr="004B0954">
        <w:rPr>
          <w:rFonts w:ascii="Times New Roman" w:hAnsi="Times New Roman" w:cs="Times New Roman"/>
          <w:sz w:val="24"/>
          <w:szCs w:val="24"/>
        </w:rPr>
        <w:t xml:space="preserve">it shows the likelihood of </w:t>
      </w:r>
      <w:r w:rsidRPr="004B0954">
        <w:rPr>
          <w:rFonts w:ascii="Times New Roman" w:hAnsi="Times New Roman" w:cs="Times New Roman"/>
          <w:sz w:val="24"/>
          <w:szCs w:val="24"/>
        </w:rPr>
        <w:t xml:space="preserve">GBV </w:t>
      </w:r>
      <w:r w:rsidR="00F254E3" w:rsidRPr="004B0954">
        <w:rPr>
          <w:rFonts w:ascii="Times New Roman" w:hAnsi="Times New Roman" w:cs="Times New Roman"/>
          <w:sz w:val="24"/>
          <w:szCs w:val="24"/>
        </w:rPr>
        <w:t xml:space="preserve">risks increasing as a result of both contextual and project related factors. </w:t>
      </w:r>
      <w:r w:rsidR="00D53310" w:rsidRPr="004B0954">
        <w:rPr>
          <w:rFonts w:ascii="Times New Roman" w:hAnsi="Times New Roman" w:cs="Times New Roman"/>
          <w:sz w:val="24"/>
          <w:szCs w:val="24"/>
        </w:rPr>
        <w:t xml:space="preserve"> </w:t>
      </w:r>
      <w:r w:rsidRPr="004B0954">
        <w:rPr>
          <w:rFonts w:ascii="Times New Roman" w:hAnsi="Times New Roman" w:cs="Times New Roman"/>
          <w:sz w:val="24"/>
          <w:szCs w:val="24"/>
        </w:rPr>
        <w:t xml:space="preserve">The </w:t>
      </w:r>
      <w:r w:rsidR="00D53310" w:rsidRPr="004B0954">
        <w:rPr>
          <w:rFonts w:ascii="Times New Roman" w:hAnsi="Times New Roman" w:cs="Times New Roman"/>
          <w:sz w:val="24"/>
          <w:szCs w:val="24"/>
        </w:rPr>
        <w:t>assessment</w:t>
      </w:r>
      <w:r w:rsidR="00264ED8" w:rsidRPr="004B0954">
        <w:rPr>
          <w:rFonts w:ascii="Times New Roman" w:hAnsi="Times New Roman" w:cs="Times New Roman"/>
          <w:sz w:val="24"/>
          <w:szCs w:val="24"/>
        </w:rPr>
        <w:t xml:space="preserve"> rates the level of risks at </w:t>
      </w:r>
      <w:r w:rsidRPr="004B0954">
        <w:rPr>
          <w:rFonts w:ascii="Times New Roman" w:hAnsi="Times New Roman" w:cs="Times New Roman"/>
          <w:sz w:val="24"/>
          <w:szCs w:val="24"/>
        </w:rPr>
        <w:t xml:space="preserve">“moderate”. </w:t>
      </w:r>
      <w:r w:rsidR="00D53310" w:rsidRPr="004B0954">
        <w:rPr>
          <w:rFonts w:ascii="Times New Roman" w:hAnsi="Times New Roman" w:cs="Times New Roman"/>
          <w:sz w:val="24"/>
          <w:szCs w:val="24"/>
        </w:rPr>
        <w:t>T</w:t>
      </w:r>
      <w:r w:rsidRPr="004B0954">
        <w:rPr>
          <w:rFonts w:ascii="Times New Roman" w:hAnsi="Times New Roman" w:cs="Times New Roman"/>
          <w:sz w:val="24"/>
          <w:szCs w:val="24"/>
        </w:rPr>
        <w:t xml:space="preserve">he Risk Assessment </w:t>
      </w:r>
      <w:r w:rsidR="00D53310" w:rsidRPr="004B0954">
        <w:rPr>
          <w:rFonts w:ascii="Times New Roman" w:hAnsi="Times New Roman" w:cs="Times New Roman"/>
          <w:sz w:val="24"/>
          <w:szCs w:val="24"/>
        </w:rPr>
        <w:t>highlighted the following as the major risk factors</w:t>
      </w:r>
      <w:r w:rsidRPr="004B0954">
        <w:rPr>
          <w:rFonts w:ascii="Times New Roman" w:hAnsi="Times New Roman" w:cs="Times New Roman"/>
          <w:sz w:val="24"/>
          <w:szCs w:val="24"/>
        </w:rPr>
        <w:t xml:space="preserve">: </w:t>
      </w:r>
    </w:p>
    <w:p w14:paraId="4778B07A" w14:textId="6E28A4BB" w:rsidR="00DF24EC" w:rsidRPr="004B0954" w:rsidRDefault="00857BE5" w:rsidP="00DF24EC">
      <w:pPr>
        <w:pStyle w:val="Default"/>
        <w:numPr>
          <w:ilvl w:val="0"/>
          <w:numId w:val="1"/>
        </w:numPr>
        <w:jc w:val="both"/>
        <w:rPr>
          <w:rFonts w:ascii="Times New Roman" w:hAnsi="Times New Roman" w:cs="Times New Roman"/>
          <w:color w:val="auto"/>
        </w:rPr>
      </w:pPr>
      <w:r w:rsidRPr="004B0954">
        <w:rPr>
          <w:rFonts w:ascii="Times New Roman" w:hAnsi="Times New Roman" w:cs="Times New Roman"/>
          <w:color w:val="auto"/>
        </w:rPr>
        <w:t>N</w:t>
      </w:r>
      <w:r w:rsidR="00DF24EC" w:rsidRPr="004B0954">
        <w:rPr>
          <w:rFonts w:ascii="Times New Roman" w:hAnsi="Times New Roman" w:cs="Times New Roman"/>
          <w:color w:val="auto"/>
        </w:rPr>
        <w:t>ational lifetime prevalence of intimate partner violence (physical and sexual) and sexual violence are lower than the regional average, and child marriage is higher</w:t>
      </w:r>
      <w:r w:rsidR="001868EA" w:rsidRPr="004B0954">
        <w:rPr>
          <w:rFonts w:ascii="Times New Roman" w:hAnsi="Times New Roman" w:cs="Times New Roman"/>
          <w:color w:val="auto"/>
        </w:rPr>
        <w:t xml:space="preserve"> than the </w:t>
      </w:r>
      <w:r w:rsidR="00264ED8" w:rsidRPr="004B0954">
        <w:rPr>
          <w:rFonts w:ascii="Times New Roman" w:hAnsi="Times New Roman" w:cs="Times New Roman"/>
          <w:color w:val="auto"/>
        </w:rPr>
        <w:t>regional</w:t>
      </w:r>
      <w:r w:rsidR="001868EA" w:rsidRPr="004B0954">
        <w:rPr>
          <w:rFonts w:ascii="Times New Roman" w:hAnsi="Times New Roman" w:cs="Times New Roman"/>
          <w:color w:val="auto"/>
        </w:rPr>
        <w:t xml:space="preserve"> average</w:t>
      </w:r>
      <w:r w:rsidR="00DF24EC" w:rsidRPr="004B0954">
        <w:rPr>
          <w:rFonts w:ascii="Times New Roman" w:hAnsi="Times New Roman" w:cs="Times New Roman"/>
          <w:color w:val="auto"/>
        </w:rPr>
        <w:t xml:space="preserve">. </w:t>
      </w:r>
    </w:p>
    <w:p w14:paraId="7C171C0C" w14:textId="668FF3DD" w:rsidR="00DF24EC" w:rsidRPr="004B0954" w:rsidRDefault="00DF24EC" w:rsidP="00017A81">
      <w:pPr>
        <w:pStyle w:val="Default"/>
        <w:numPr>
          <w:ilvl w:val="0"/>
          <w:numId w:val="1"/>
        </w:numPr>
        <w:jc w:val="both"/>
        <w:rPr>
          <w:rFonts w:ascii="Times New Roman" w:hAnsi="Times New Roman" w:cs="Times New Roman"/>
          <w:color w:val="auto"/>
        </w:rPr>
      </w:pPr>
      <w:r w:rsidRPr="004B0954">
        <w:rPr>
          <w:rFonts w:ascii="Times New Roman" w:hAnsi="Times New Roman" w:cs="Times New Roman"/>
          <w:color w:val="auto"/>
        </w:rPr>
        <w:t>The project can bring minor influx of labor and employment income differentials in local communities. Projects with minor labor influx of workers may increase the demand for sex work, including the risk for trafficking of women for the purposes of sex work; or the risk of forced early marriage. Furthermore, higher wages for workers in a community can lead to an increase in transactional sex. The risk of incidents of sex between laborers and minors, even when it is not transactional, can also increase.</w:t>
      </w:r>
      <w:r w:rsidR="0084608B" w:rsidRPr="004B0954">
        <w:rPr>
          <w:rFonts w:ascii="Times New Roman" w:hAnsi="Times New Roman" w:cs="Times New Roman"/>
          <w:color w:val="auto"/>
        </w:rPr>
        <w:t xml:space="preserve">  </w:t>
      </w:r>
      <w:r w:rsidR="00366F64" w:rsidRPr="004B0954">
        <w:rPr>
          <w:rFonts w:ascii="Times New Roman" w:hAnsi="Times New Roman" w:cs="Times New Roman"/>
          <w:color w:val="auto"/>
        </w:rPr>
        <w:t>Risk of SEA/SH by project personnel e.g. regional</w:t>
      </w:r>
      <w:r w:rsidR="00017A81" w:rsidRPr="004B0954">
        <w:rPr>
          <w:rFonts w:ascii="Times New Roman" w:hAnsi="Times New Roman" w:cs="Times New Roman"/>
          <w:color w:val="auto"/>
        </w:rPr>
        <w:t>, zonal and woreda officials</w:t>
      </w:r>
      <w:r w:rsidR="00366F64" w:rsidRPr="004B0954">
        <w:rPr>
          <w:rFonts w:ascii="Times New Roman" w:hAnsi="Times New Roman" w:cs="Times New Roman"/>
          <w:color w:val="auto"/>
        </w:rPr>
        <w:t xml:space="preserve"> who may ask for sexual favors from women and girls </w:t>
      </w:r>
      <w:r w:rsidR="00401BF2" w:rsidRPr="004B0954">
        <w:rPr>
          <w:rFonts w:ascii="Times New Roman" w:hAnsi="Times New Roman" w:cs="Times New Roman"/>
          <w:color w:val="auto"/>
        </w:rPr>
        <w:t xml:space="preserve">for them </w:t>
      </w:r>
      <w:r w:rsidR="00366F64" w:rsidRPr="004B0954">
        <w:rPr>
          <w:rFonts w:ascii="Times New Roman" w:hAnsi="Times New Roman" w:cs="Times New Roman"/>
          <w:color w:val="auto"/>
        </w:rPr>
        <w:t>to be included</w:t>
      </w:r>
      <w:r w:rsidR="00017A81" w:rsidRPr="004B0954">
        <w:rPr>
          <w:rFonts w:ascii="Times New Roman" w:hAnsi="Times New Roman" w:cs="Times New Roman"/>
          <w:color w:val="auto"/>
        </w:rPr>
        <w:t xml:space="preserve"> in the livelihoods support for farmers, pastoralists and agro-pastoralists or receive cash for compensation. Also, </w:t>
      </w:r>
      <w:r w:rsidR="00401BF2" w:rsidRPr="004B0954">
        <w:rPr>
          <w:rFonts w:ascii="Times New Roman" w:hAnsi="Times New Roman" w:cs="Times New Roman"/>
          <w:color w:val="auto"/>
        </w:rPr>
        <w:t xml:space="preserve">the </w:t>
      </w:r>
      <w:r w:rsidR="00017A81" w:rsidRPr="004B0954">
        <w:rPr>
          <w:rFonts w:ascii="Times New Roman" w:hAnsi="Times New Roman" w:cs="Times New Roman"/>
          <w:color w:val="auto"/>
        </w:rPr>
        <w:t>l</w:t>
      </w:r>
      <w:r w:rsidR="00366F64" w:rsidRPr="004B0954">
        <w:rPr>
          <w:rFonts w:ascii="Times New Roman" w:hAnsi="Times New Roman" w:cs="Times New Roman"/>
          <w:color w:val="auto"/>
        </w:rPr>
        <w:t xml:space="preserve">ivelihood </w:t>
      </w:r>
      <w:r w:rsidR="00401BF2" w:rsidRPr="004B0954">
        <w:rPr>
          <w:rFonts w:ascii="Times New Roman" w:hAnsi="Times New Roman" w:cs="Times New Roman"/>
          <w:color w:val="auto"/>
        </w:rPr>
        <w:t>support</w:t>
      </w:r>
      <w:r w:rsidR="00366F64" w:rsidRPr="004B0954">
        <w:rPr>
          <w:rFonts w:ascii="Times New Roman" w:hAnsi="Times New Roman" w:cs="Times New Roman"/>
          <w:color w:val="auto"/>
        </w:rPr>
        <w:t xml:space="preserve"> can create backlash and unintentionally heighten the risk of GBV amongst female participants</w:t>
      </w:r>
      <w:r w:rsidR="00857BE5" w:rsidRPr="004B0954">
        <w:rPr>
          <w:rFonts w:ascii="Times New Roman" w:hAnsi="Times New Roman" w:cs="Times New Roman"/>
          <w:color w:val="auto"/>
        </w:rPr>
        <w:t>,</w:t>
      </w:r>
      <w:r w:rsidR="00366F64" w:rsidRPr="004B0954">
        <w:rPr>
          <w:rFonts w:ascii="Times New Roman" w:hAnsi="Times New Roman" w:cs="Times New Roman"/>
          <w:color w:val="auto"/>
        </w:rPr>
        <w:t xml:space="preserve"> </w:t>
      </w:r>
      <w:r w:rsidR="00401BF2" w:rsidRPr="004B0954">
        <w:rPr>
          <w:rFonts w:ascii="Times New Roman" w:hAnsi="Times New Roman" w:cs="Times New Roman"/>
          <w:color w:val="auto"/>
        </w:rPr>
        <w:t>given the exist</w:t>
      </w:r>
      <w:r w:rsidR="00857BE5" w:rsidRPr="004B0954">
        <w:rPr>
          <w:rFonts w:ascii="Times New Roman" w:hAnsi="Times New Roman" w:cs="Times New Roman"/>
          <w:color w:val="auto"/>
        </w:rPr>
        <w:t xml:space="preserve">ence of </w:t>
      </w:r>
      <w:r w:rsidR="00366F64" w:rsidRPr="004B0954">
        <w:rPr>
          <w:rFonts w:ascii="Times New Roman" w:hAnsi="Times New Roman" w:cs="Times New Roman"/>
          <w:color w:val="auto"/>
        </w:rPr>
        <w:t xml:space="preserve"> high gender inequality and norms that do not promote women’s economic independence. Rates of household violence can increase when a partner or family members feel threatened by or resentful of a woman’s economic independence. </w:t>
      </w:r>
    </w:p>
    <w:p w14:paraId="1D9BEF7F" w14:textId="7CE75632" w:rsidR="00DF24EC" w:rsidRPr="004B0954" w:rsidRDefault="00DF24EC" w:rsidP="00DF24EC">
      <w:pPr>
        <w:pStyle w:val="Default"/>
        <w:numPr>
          <w:ilvl w:val="0"/>
          <w:numId w:val="1"/>
        </w:numPr>
        <w:jc w:val="both"/>
        <w:rPr>
          <w:rFonts w:ascii="Times New Roman" w:hAnsi="Times New Roman" w:cs="Times New Roman"/>
          <w:color w:val="auto"/>
        </w:rPr>
      </w:pPr>
      <w:r w:rsidRPr="004B0954">
        <w:rPr>
          <w:rFonts w:ascii="Times New Roman" w:hAnsi="Times New Roman" w:cs="Times New Roman"/>
          <w:color w:val="auto"/>
        </w:rPr>
        <w:t xml:space="preserve">The project may be near school routes or roads that </w:t>
      </w:r>
      <w:r w:rsidR="00401BF2" w:rsidRPr="004B0954">
        <w:rPr>
          <w:rFonts w:ascii="Times New Roman" w:hAnsi="Times New Roman" w:cs="Times New Roman"/>
          <w:color w:val="auto"/>
        </w:rPr>
        <w:t xml:space="preserve">are frequently traversed by local </w:t>
      </w:r>
      <w:r w:rsidRPr="004B0954">
        <w:rPr>
          <w:rFonts w:ascii="Times New Roman" w:hAnsi="Times New Roman" w:cs="Times New Roman"/>
          <w:color w:val="auto"/>
        </w:rPr>
        <w:t xml:space="preserve">women and girls </w:t>
      </w:r>
      <w:r w:rsidR="00401BF2" w:rsidRPr="004B0954">
        <w:rPr>
          <w:rFonts w:ascii="Times New Roman" w:hAnsi="Times New Roman" w:cs="Times New Roman"/>
          <w:color w:val="auto"/>
        </w:rPr>
        <w:t xml:space="preserve">increasing exposure to </w:t>
      </w:r>
      <w:r w:rsidR="002627A7" w:rsidRPr="004B0954">
        <w:rPr>
          <w:rFonts w:ascii="Times New Roman" w:hAnsi="Times New Roman" w:cs="Times New Roman"/>
          <w:color w:val="auto"/>
        </w:rPr>
        <w:t xml:space="preserve">project </w:t>
      </w:r>
      <w:r w:rsidR="00401BF2" w:rsidRPr="004B0954">
        <w:rPr>
          <w:rFonts w:ascii="Times New Roman" w:hAnsi="Times New Roman" w:cs="Times New Roman"/>
          <w:color w:val="auto"/>
        </w:rPr>
        <w:t>workers and in turn,</w:t>
      </w:r>
      <w:r w:rsidR="004C6DB2" w:rsidRPr="004B0954">
        <w:rPr>
          <w:rFonts w:ascii="Times New Roman" w:hAnsi="Times New Roman" w:cs="Times New Roman"/>
          <w:color w:val="auto"/>
        </w:rPr>
        <w:t xml:space="preserve"> </w:t>
      </w:r>
      <w:r w:rsidRPr="004B0954">
        <w:rPr>
          <w:rFonts w:ascii="Times New Roman" w:hAnsi="Times New Roman" w:cs="Times New Roman"/>
          <w:color w:val="auto"/>
        </w:rPr>
        <w:t xml:space="preserve">risks </w:t>
      </w:r>
      <w:r w:rsidR="004C6DB2" w:rsidRPr="004B0954">
        <w:rPr>
          <w:rFonts w:ascii="Times New Roman" w:hAnsi="Times New Roman" w:cs="Times New Roman"/>
          <w:color w:val="auto"/>
        </w:rPr>
        <w:t>of</w:t>
      </w:r>
      <w:r w:rsidRPr="004B0954">
        <w:rPr>
          <w:rFonts w:ascii="Times New Roman" w:hAnsi="Times New Roman" w:cs="Times New Roman"/>
          <w:color w:val="auto"/>
        </w:rPr>
        <w:t xml:space="preserve"> sexual exploitation and abuse (SEA)</w:t>
      </w:r>
      <w:r w:rsidR="004C6DB2" w:rsidRPr="004B0954">
        <w:rPr>
          <w:rFonts w:ascii="Times New Roman" w:hAnsi="Times New Roman" w:cs="Times New Roman"/>
          <w:color w:val="auto"/>
        </w:rPr>
        <w:t>.</w:t>
      </w:r>
    </w:p>
    <w:p w14:paraId="5FFAB8E8" w14:textId="2AE35C84" w:rsidR="00DF24EC" w:rsidRPr="004B0954" w:rsidRDefault="004C6DB2" w:rsidP="00DF24EC">
      <w:pPr>
        <w:pStyle w:val="Default"/>
        <w:numPr>
          <w:ilvl w:val="0"/>
          <w:numId w:val="1"/>
        </w:numPr>
        <w:jc w:val="both"/>
        <w:rPr>
          <w:rFonts w:ascii="Times New Roman" w:hAnsi="Times New Roman" w:cs="Times New Roman"/>
          <w:color w:val="auto"/>
        </w:rPr>
      </w:pPr>
      <w:r w:rsidRPr="004B0954">
        <w:rPr>
          <w:rFonts w:ascii="Times New Roman" w:hAnsi="Times New Roman" w:cs="Times New Roman"/>
          <w:color w:val="auto"/>
        </w:rPr>
        <w:t xml:space="preserve">It is likely that female laborers will work alongside male laborers without adequate supervision of work sites; without separate latrine and other sanitation facilities for males and females; and without specific mechanisms for females to share concerns about their working environments, including concerns about sexual harassment. </w:t>
      </w:r>
    </w:p>
    <w:p w14:paraId="4C3F1805" w14:textId="519A1B16" w:rsidR="00DF24EC" w:rsidRPr="004B0954" w:rsidRDefault="00DF24EC" w:rsidP="004C6DB2">
      <w:pPr>
        <w:pStyle w:val="Default"/>
        <w:numPr>
          <w:ilvl w:val="0"/>
          <w:numId w:val="1"/>
        </w:numPr>
        <w:spacing w:after="160"/>
        <w:jc w:val="both"/>
        <w:rPr>
          <w:rFonts w:ascii="Times New Roman" w:hAnsi="Times New Roman" w:cs="Times New Roman"/>
          <w:color w:val="auto"/>
        </w:rPr>
      </w:pPr>
      <w:r w:rsidRPr="004B0954">
        <w:rPr>
          <w:rFonts w:ascii="Times New Roman" w:hAnsi="Times New Roman" w:cs="Times New Roman"/>
          <w:color w:val="auto"/>
        </w:rPr>
        <w:t>In addition, although there is a National GBV Working Group, it focuses on humanitarian issues; and because the project is not applied in a humanitarian environment, frameworks for coordinating GBV prevention and response may be limited and insufficient for local government, NGO, and CBO. Although there is a gender action plan, there is no protocol defined for referrals to GBV services, which may impact the availability and access to response services.</w:t>
      </w:r>
      <w:r w:rsidR="00AF0EC2" w:rsidRPr="004B0954">
        <w:rPr>
          <w:rFonts w:ascii="Times New Roman" w:hAnsi="Times New Roman" w:cs="Times New Roman"/>
          <w:color w:val="auto"/>
        </w:rPr>
        <w:t xml:space="preserve"> </w:t>
      </w:r>
      <w:r w:rsidR="004E4FC4" w:rsidRPr="004B0954">
        <w:rPr>
          <w:rFonts w:ascii="Times New Roman" w:hAnsi="Times New Roman" w:cs="Times New Roman"/>
          <w:color w:val="auto"/>
        </w:rPr>
        <w:t xml:space="preserve">Multi-sectoral government partners (health </w:t>
      </w:r>
      <w:r w:rsidR="00E90655" w:rsidRPr="004B0954">
        <w:rPr>
          <w:rFonts w:ascii="Times New Roman" w:hAnsi="Times New Roman" w:cs="Times New Roman"/>
          <w:color w:val="auto"/>
        </w:rPr>
        <w:t>service providers</w:t>
      </w:r>
      <w:r w:rsidR="004E4FC4" w:rsidRPr="004B0954">
        <w:rPr>
          <w:rFonts w:ascii="Times New Roman" w:hAnsi="Times New Roman" w:cs="Times New Roman"/>
          <w:color w:val="auto"/>
        </w:rPr>
        <w:t>, Women and Children Affairs, Police</w:t>
      </w:r>
      <w:r w:rsidR="006E4BF6" w:rsidRPr="004B0954">
        <w:rPr>
          <w:rFonts w:ascii="Times New Roman" w:eastAsia="Times New Roman" w:hAnsi="Times New Roman" w:cs="Times New Roman"/>
          <w:bCs/>
          <w:color w:val="auto"/>
        </w:rPr>
        <w:t xml:space="preserve"> and legal service providers</w:t>
      </w:r>
      <w:r w:rsidR="004E4FC4" w:rsidRPr="004B0954">
        <w:rPr>
          <w:rFonts w:ascii="Times New Roman" w:hAnsi="Times New Roman" w:cs="Times New Roman"/>
          <w:color w:val="auto"/>
        </w:rPr>
        <w:t>) will be supported to develop referral pathways</w:t>
      </w:r>
      <w:r w:rsidR="006E0728" w:rsidRPr="004B0954">
        <w:rPr>
          <w:rStyle w:val="FootnoteReference"/>
          <w:rFonts w:ascii="Times New Roman" w:hAnsi="Times New Roman" w:cs="Times New Roman"/>
          <w:color w:val="auto"/>
        </w:rPr>
        <w:footnoteReference w:id="1"/>
      </w:r>
    </w:p>
    <w:p w14:paraId="2B8959AD" w14:textId="2299E76E" w:rsidR="00DF24EC" w:rsidRPr="004B0954" w:rsidRDefault="009F4B76" w:rsidP="00DF24EC">
      <w:pPr>
        <w:pStyle w:val="Heading1"/>
        <w:jc w:val="both"/>
        <w:rPr>
          <w:rFonts w:ascii="Times New Roman" w:hAnsi="Times New Roman" w:cs="Times New Roman"/>
          <w:color w:val="auto"/>
          <w:sz w:val="24"/>
          <w:szCs w:val="24"/>
        </w:rPr>
      </w:pPr>
      <w:bookmarkStart w:id="13" w:name="_Toc39565473"/>
      <w:bookmarkStart w:id="14" w:name="_Toc40731672"/>
      <w:bookmarkStart w:id="15" w:name="_Toc48854796"/>
      <w:r w:rsidRPr="004B0954">
        <w:rPr>
          <w:rFonts w:ascii="Times New Roman" w:hAnsi="Times New Roman" w:cs="Times New Roman"/>
          <w:color w:val="auto"/>
          <w:sz w:val="24"/>
          <w:szCs w:val="24"/>
        </w:rPr>
        <w:t>3.</w:t>
      </w:r>
      <w:r w:rsidR="00DF24EC" w:rsidRPr="004B0954">
        <w:rPr>
          <w:rFonts w:ascii="Times New Roman" w:hAnsi="Times New Roman" w:cs="Times New Roman"/>
          <w:color w:val="auto"/>
          <w:sz w:val="24"/>
          <w:szCs w:val="24"/>
        </w:rPr>
        <w:t xml:space="preserve"> GBV Risk Mitigation, Prevention and Response for Ethiopia Locust Response Project</w:t>
      </w:r>
      <w:bookmarkEnd w:id="13"/>
      <w:bookmarkEnd w:id="14"/>
      <w:bookmarkEnd w:id="15"/>
    </w:p>
    <w:p w14:paraId="0E2B7F99" w14:textId="77777777" w:rsidR="007E2F3E" w:rsidRPr="004B0954" w:rsidRDefault="007E2F3E" w:rsidP="00DF24EC">
      <w:pPr>
        <w:jc w:val="both"/>
        <w:rPr>
          <w:rFonts w:ascii="Times New Roman" w:hAnsi="Times New Roman" w:cs="Times New Roman"/>
          <w:sz w:val="2"/>
          <w:szCs w:val="2"/>
        </w:rPr>
      </w:pPr>
    </w:p>
    <w:p w14:paraId="4F41FDDD" w14:textId="18624CDD" w:rsidR="00DF24EC" w:rsidRPr="004B0954" w:rsidRDefault="00DF24EC" w:rsidP="00DF24EC">
      <w:pPr>
        <w:jc w:val="both"/>
        <w:rPr>
          <w:rFonts w:ascii="Times New Roman" w:eastAsia="Times New Roman" w:hAnsi="Times New Roman" w:cs="Times New Roman"/>
          <w:bCs/>
          <w:sz w:val="24"/>
          <w:szCs w:val="24"/>
        </w:rPr>
      </w:pPr>
      <w:r w:rsidRPr="004B0954">
        <w:rPr>
          <w:rFonts w:ascii="Times New Roman" w:hAnsi="Times New Roman" w:cs="Times New Roman"/>
          <w:sz w:val="24"/>
          <w:szCs w:val="24"/>
        </w:rPr>
        <w:t>As part of the Bank’s initiative to integrate GBV in Ethiopia locust response project, GBV risk mitigation measures should be planned</w:t>
      </w:r>
      <w:r w:rsidRPr="004B0954">
        <w:rPr>
          <w:rFonts w:ascii="Times New Roman" w:eastAsia="Times New Roman" w:hAnsi="Times New Roman" w:cs="Times New Roman"/>
          <w:bCs/>
          <w:sz w:val="24"/>
          <w:szCs w:val="24"/>
        </w:rPr>
        <w:t>.</w:t>
      </w:r>
      <w:r w:rsidRPr="004B0954">
        <w:rPr>
          <w:rFonts w:ascii="Times New Roman" w:eastAsia="Times New Roman" w:hAnsi="Times New Roman" w:cs="Times New Roman"/>
          <w:b/>
          <w:bCs/>
          <w:sz w:val="24"/>
          <w:szCs w:val="24"/>
        </w:rPr>
        <w:t xml:space="preserve"> </w:t>
      </w:r>
      <w:r w:rsidRPr="004B0954">
        <w:rPr>
          <w:rFonts w:ascii="Times New Roman" w:eastAsia="Times New Roman" w:hAnsi="Times New Roman" w:cs="Times New Roman"/>
          <w:bCs/>
          <w:sz w:val="24"/>
          <w:szCs w:val="24"/>
        </w:rPr>
        <w:t>Key elements of the plan include:</w:t>
      </w:r>
    </w:p>
    <w:p w14:paraId="5F444FB8" w14:textId="77777777" w:rsidR="000763AD" w:rsidRPr="004B0954" w:rsidRDefault="000763AD" w:rsidP="00DF24EC">
      <w:pPr>
        <w:pStyle w:val="ListParagraph"/>
        <w:numPr>
          <w:ilvl w:val="0"/>
          <w:numId w:val="2"/>
        </w:numPr>
        <w:autoSpaceDE w:val="0"/>
        <w:autoSpaceDN w:val="0"/>
        <w:adjustRightInd w:val="0"/>
        <w:jc w:val="both"/>
        <w:rPr>
          <w:rFonts w:ascii="Times New Roman" w:eastAsia="Times New Roman" w:hAnsi="Times New Roman" w:cs="Times New Roman"/>
          <w:bCs/>
          <w:sz w:val="24"/>
        </w:rPr>
      </w:pPr>
      <w:r w:rsidRPr="004B0954">
        <w:rPr>
          <w:rFonts w:ascii="Times New Roman" w:eastAsia="Times New Roman" w:hAnsi="Times New Roman" w:cs="Times New Roman"/>
          <w:bCs/>
          <w:sz w:val="24"/>
        </w:rPr>
        <w:t>Create awareness on PSEA/SH mitigation and response mechanisms within the implementing agency (IA) and contractors.</w:t>
      </w:r>
    </w:p>
    <w:p w14:paraId="06049995" w14:textId="0C35211A" w:rsidR="00DF24EC" w:rsidRPr="004B0954" w:rsidRDefault="00DF24EC">
      <w:pPr>
        <w:pStyle w:val="ListParagraph"/>
        <w:numPr>
          <w:ilvl w:val="0"/>
          <w:numId w:val="2"/>
        </w:numPr>
        <w:autoSpaceDE w:val="0"/>
        <w:autoSpaceDN w:val="0"/>
        <w:adjustRightInd w:val="0"/>
        <w:jc w:val="both"/>
        <w:rPr>
          <w:rFonts w:ascii="Times New Roman" w:eastAsia="Times New Roman" w:hAnsi="Times New Roman" w:cs="Times New Roman"/>
          <w:bCs/>
          <w:sz w:val="24"/>
        </w:rPr>
      </w:pPr>
      <w:r w:rsidRPr="004B0954">
        <w:rPr>
          <w:rFonts w:ascii="Times New Roman" w:hAnsi="Times New Roman" w:cs="Times New Roman"/>
          <w:noProof/>
          <w:sz w:val="24"/>
        </w:rPr>
        <w:t xml:space="preserve">Monitor GBV Risks </w:t>
      </w:r>
      <w:r w:rsidR="004E4FC4" w:rsidRPr="004B0954">
        <w:rPr>
          <w:rFonts w:ascii="Times New Roman" w:hAnsi="Times New Roman" w:cs="Times New Roman"/>
          <w:noProof/>
          <w:sz w:val="24"/>
        </w:rPr>
        <w:t xml:space="preserve">and </w:t>
      </w:r>
      <w:r w:rsidR="002627A7" w:rsidRPr="004B0954">
        <w:rPr>
          <w:rFonts w:ascii="Times New Roman" w:hAnsi="Times New Roman" w:cs="Times New Roman"/>
          <w:noProof/>
          <w:sz w:val="24"/>
        </w:rPr>
        <w:t xml:space="preserve">ensure it is </w:t>
      </w:r>
      <w:r w:rsidRPr="004B0954">
        <w:rPr>
          <w:rFonts w:ascii="Times New Roman" w:hAnsi="Times New Roman" w:cs="Times New Roman"/>
          <w:noProof/>
          <w:sz w:val="24"/>
        </w:rPr>
        <w:t>adequately addressed in safeguard instruments</w:t>
      </w:r>
      <w:r w:rsidR="005A0C4C" w:rsidRPr="004B0954">
        <w:rPr>
          <w:rFonts w:ascii="Times New Roman" w:hAnsi="Times New Roman" w:cs="Times New Roman"/>
          <w:noProof/>
          <w:sz w:val="24"/>
        </w:rPr>
        <w:t>.</w:t>
      </w:r>
    </w:p>
    <w:p w14:paraId="79849555" w14:textId="69AFB086" w:rsidR="00DF24EC" w:rsidRPr="004B0954" w:rsidRDefault="00361B44"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 xml:space="preserve">Updating </w:t>
      </w:r>
      <w:r w:rsidR="00DF24EC" w:rsidRPr="004B0954">
        <w:rPr>
          <w:rFonts w:ascii="Times New Roman" w:eastAsia="Times New Roman" w:hAnsi="Times New Roman" w:cs="Times New Roman"/>
          <w:bCs/>
          <w:sz w:val="24"/>
          <w:szCs w:val="24"/>
        </w:rPr>
        <w:t>ESMPs and C-ESMPs to include</w:t>
      </w:r>
      <w:r w:rsidR="00997295" w:rsidRPr="004B0954">
        <w:rPr>
          <w:rFonts w:ascii="Times New Roman" w:eastAsia="Times New Roman" w:hAnsi="Times New Roman" w:cs="Times New Roman"/>
          <w:bCs/>
          <w:sz w:val="24"/>
          <w:szCs w:val="24"/>
        </w:rPr>
        <w:t xml:space="preserve"> the SEA/SH prevention and response</w:t>
      </w:r>
      <w:r w:rsidR="00DF24EC" w:rsidRPr="004B0954">
        <w:rPr>
          <w:rFonts w:ascii="Times New Roman" w:eastAsia="Times New Roman" w:hAnsi="Times New Roman" w:cs="Times New Roman"/>
          <w:bCs/>
          <w:sz w:val="24"/>
          <w:szCs w:val="24"/>
        </w:rPr>
        <w:t xml:space="preserve"> Action Plan</w:t>
      </w:r>
      <w:r w:rsidR="00997295" w:rsidRPr="004B0954">
        <w:rPr>
          <w:rFonts w:ascii="Times New Roman" w:eastAsia="Times New Roman" w:hAnsi="Times New Roman" w:cs="Times New Roman"/>
          <w:bCs/>
          <w:sz w:val="24"/>
          <w:szCs w:val="24"/>
        </w:rPr>
        <w:t>.</w:t>
      </w:r>
    </w:p>
    <w:p w14:paraId="6E61E486" w14:textId="3B461514" w:rsidR="00DF24EC" w:rsidRPr="004B0954" w:rsidRDefault="00DF24EC"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hAnsi="Times New Roman" w:cs="Times New Roman"/>
          <w:noProof/>
          <w:sz w:val="24"/>
          <w:szCs w:val="24"/>
        </w:rPr>
        <w:t>Stakeholder consultations</w:t>
      </w:r>
      <w:r w:rsidRPr="004B0954">
        <w:rPr>
          <w:rFonts w:ascii="Times New Roman" w:eastAsia="Times New Roman" w:hAnsi="Times New Roman" w:cs="Times New Roman"/>
          <w:bCs/>
          <w:sz w:val="24"/>
          <w:szCs w:val="24"/>
        </w:rPr>
        <w:t xml:space="preserve"> including the participation of the community that will take place throughout the life of the project, every six months</w:t>
      </w:r>
      <w:r w:rsidRPr="004B0954">
        <w:rPr>
          <w:rFonts w:ascii="Times New Roman" w:hAnsi="Times New Roman" w:cs="Times New Roman"/>
          <w:noProof/>
          <w:sz w:val="24"/>
          <w:szCs w:val="24"/>
        </w:rPr>
        <w:t>, which will help to inform GBV risks</w:t>
      </w:r>
      <w:r w:rsidR="001D196E" w:rsidRPr="004B0954">
        <w:rPr>
          <w:rFonts w:ascii="Times New Roman" w:hAnsi="Times New Roman" w:cs="Times New Roman"/>
          <w:noProof/>
          <w:sz w:val="24"/>
          <w:szCs w:val="24"/>
        </w:rPr>
        <w:t xml:space="preserve"> mitigation in the project.</w:t>
      </w:r>
    </w:p>
    <w:p w14:paraId="3C88D241" w14:textId="4185C79C" w:rsidR="00DF24EC" w:rsidRPr="004B0954" w:rsidRDefault="00DF24EC"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 xml:space="preserve">The </w:t>
      </w:r>
      <w:r w:rsidR="006E4BF6" w:rsidRPr="004B0954">
        <w:rPr>
          <w:rFonts w:ascii="Times New Roman" w:eastAsia="Times New Roman" w:hAnsi="Times New Roman" w:cs="Times New Roman"/>
          <w:bCs/>
          <w:sz w:val="24"/>
          <w:szCs w:val="24"/>
        </w:rPr>
        <w:t>Ministry of Agriculture (MOA)</w:t>
      </w:r>
      <w:r w:rsidR="00D77BF8" w:rsidRPr="004B0954">
        <w:rPr>
          <w:rFonts w:ascii="Times New Roman" w:eastAsia="Times New Roman" w:hAnsi="Times New Roman" w:cs="Times New Roman"/>
          <w:bCs/>
          <w:sz w:val="24"/>
          <w:szCs w:val="24"/>
        </w:rPr>
        <w:t>, in collaboration with regional Agriculture Bureau GBV focal points</w:t>
      </w:r>
      <w:r w:rsidR="00354450" w:rsidRPr="004B0954">
        <w:rPr>
          <w:rFonts w:ascii="Times New Roman" w:eastAsia="Times New Roman" w:hAnsi="Times New Roman" w:cs="Times New Roman"/>
          <w:bCs/>
          <w:sz w:val="24"/>
          <w:szCs w:val="24"/>
        </w:rPr>
        <w:t xml:space="preserve"> for environment and social </w:t>
      </w:r>
      <w:r w:rsidR="00104A86" w:rsidRPr="004B0954">
        <w:rPr>
          <w:rFonts w:ascii="Times New Roman" w:eastAsia="Times New Roman" w:hAnsi="Times New Roman" w:cs="Times New Roman"/>
          <w:bCs/>
          <w:sz w:val="24"/>
          <w:szCs w:val="24"/>
        </w:rPr>
        <w:t>risk management</w:t>
      </w:r>
      <w:r w:rsidRPr="004B0954">
        <w:rPr>
          <w:rFonts w:ascii="Times New Roman" w:eastAsia="Times New Roman" w:hAnsi="Times New Roman" w:cs="Times New Roman"/>
          <w:bCs/>
          <w:sz w:val="24"/>
          <w:szCs w:val="24"/>
        </w:rPr>
        <w:t xml:space="preserve"> will carry out a GBV service providers mapping. </w:t>
      </w:r>
    </w:p>
    <w:p w14:paraId="67F6DEE7" w14:textId="5F0F03A4" w:rsidR="001D196E" w:rsidRPr="004B0954" w:rsidRDefault="00D77BF8"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 xml:space="preserve">Organize regular mentoring sessions for </w:t>
      </w:r>
      <w:r w:rsidR="00D211A9" w:rsidRPr="004B0954">
        <w:rPr>
          <w:rFonts w:ascii="Times New Roman" w:eastAsia="Times New Roman" w:hAnsi="Times New Roman" w:cs="Times New Roman"/>
          <w:bCs/>
          <w:sz w:val="24"/>
          <w:szCs w:val="24"/>
        </w:rPr>
        <w:t xml:space="preserve">multi-sectoral service providers (Health, case management and psychosocial support, safety/police, and legal service providers) </w:t>
      </w:r>
      <w:r w:rsidRPr="004B0954">
        <w:rPr>
          <w:rFonts w:ascii="Times New Roman" w:eastAsia="Times New Roman" w:hAnsi="Times New Roman" w:cs="Times New Roman"/>
          <w:bCs/>
          <w:sz w:val="24"/>
          <w:szCs w:val="24"/>
        </w:rPr>
        <w:t xml:space="preserve">on </w:t>
      </w:r>
      <w:r w:rsidR="00261D85" w:rsidRPr="004B0954">
        <w:rPr>
          <w:rFonts w:ascii="Times New Roman" w:eastAsia="Times New Roman" w:hAnsi="Times New Roman" w:cs="Times New Roman"/>
          <w:bCs/>
          <w:sz w:val="24"/>
          <w:szCs w:val="24"/>
        </w:rPr>
        <w:t>GBV guiding principles.</w:t>
      </w:r>
      <w:r w:rsidR="00D211A9" w:rsidRPr="004B0954">
        <w:rPr>
          <w:rFonts w:ascii="Times New Roman" w:eastAsia="Times New Roman" w:hAnsi="Times New Roman" w:cs="Times New Roman"/>
          <w:bCs/>
          <w:sz w:val="24"/>
          <w:szCs w:val="24"/>
        </w:rPr>
        <w:t xml:space="preserve"> </w:t>
      </w:r>
    </w:p>
    <w:p w14:paraId="04D23537" w14:textId="6685B25D" w:rsidR="001D196E" w:rsidRPr="004B0954" w:rsidRDefault="000D1A50"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 xml:space="preserve">MoA </w:t>
      </w:r>
      <w:r w:rsidR="00261D85" w:rsidRPr="004B0954">
        <w:rPr>
          <w:rFonts w:ascii="Times New Roman" w:eastAsia="Times New Roman" w:hAnsi="Times New Roman" w:cs="Times New Roman"/>
          <w:bCs/>
          <w:sz w:val="24"/>
          <w:szCs w:val="24"/>
        </w:rPr>
        <w:t xml:space="preserve">and regional GBV focal points will support Woreda level Women and Children affairs offices, and other Muti-sectoral service provider to develop GBV referral pathways. </w:t>
      </w:r>
      <w:r w:rsidR="006D5713" w:rsidRPr="004B0954">
        <w:rPr>
          <w:rFonts w:ascii="Times New Roman" w:eastAsia="Times New Roman" w:hAnsi="Times New Roman" w:cs="Times New Roman"/>
          <w:bCs/>
          <w:sz w:val="24"/>
          <w:szCs w:val="24"/>
        </w:rPr>
        <w:t xml:space="preserve"> </w:t>
      </w:r>
    </w:p>
    <w:p w14:paraId="72A82117" w14:textId="28073610" w:rsidR="00126B26" w:rsidRPr="004B0954" w:rsidRDefault="00361B44">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 xml:space="preserve">Publicly post or otherwise disseminate messages clearly prohibiting SEA/SH during the </w:t>
      </w:r>
      <w:r w:rsidR="00E46AD6" w:rsidRPr="004B0954">
        <w:rPr>
          <w:rFonts w:ascii="Times New Roman" w:eastAsia="Times New Roman" w:hAnsi="Times New Roman" w:cs="Times New Roman"/>
          <w:bCs/>
          <w:sz w:val="24"/>
          <w:szCs w:val="24"/>
        </w:rPr>
        <w:t>locust response interventions</w:t>
      </w:r>
      <w:r w:rsidRPr="004B0954">
        <w:rPr>
          <w:rFonts w:ascii="Times New Roman" w:eastAsia="Times New Roman" w:hAnsi="Times New Roman" w:cs="Times New Roman"/>
          <w:bCs/>
          <w:sz w:val="24"/>
          <w:szCs w:val="24"/>
        </w:rPr>
        <w:t xml:space="preserve">, whether </w:t>
      </w:r>
      <w:r w:rsidR="00E46AD6" w:rsidRPr="004B0954">
        <w:rPr>
          <w:rFonts w:ascii="Times New Roman" w:eastAsia="Times New Roman" w:hAnsi="Times New Roman" w:cs="Times New Roman"/>
          <w:bCs/>
          <w:sz w:val="24"/>
          <w:szCs w:val="24"/>
        </w:rPr>
        <w:t>the project workers</w:t>
      </w:r>
      <w:r w:rsidRPr="004B0954">
        <w:rPr>
          <w:rFonts w:ascii="Times New Roman" w:eastAsia="Times New Roman" w:hAnsi="Times New Roman" w:cs="Times New Roman"/>
          <w:bCs/>
          <w:sz w:val="24"/>
          <w:szCs w:val="24"/>
        </w:rPr>
        <w:t xml:space="preserve"> are perpetrators or survivors.</w:t>
      </w:r>
    </w:p>
    <w:p w14:paraId="2AF9FA6C" w14:textId="5D2DBEF0" w:rsidR="00361B44" w:rsidRPr="004B0954" w:rsidRDefault="00361B44" w:rsidP="004D20B2">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This can include the development, adaptation, translation and dissemination of communication materials (through local radio, posters, banners,</w:t>
      </w:r>
      <w:r w:rsidR="00001F13" w:rsidRPr="004B0954">
        <w:rPr>
          <w:rFonts w:ascii="Times New Roman" w:eastAsia="Times New Roman" w:hAnsi="Times New Roman" w:cs="Times New Roman"/>
          <w:bCs/>
          <w:sz w:val="24"/>
          <w:szCs w:val="24"/>
        </w:rPr>
        <w:t xml:space="preserve"> at community forums</w:t>
      </w:r>
      <w:r w:rsidRPr="004B0954">
        <w:rPr>
          <w:rFonts w:ascii="Times New Roman" w:eastAsia="Times New Roman" w:hAnsi="Times New Roman" w:cs="Times New Roman"/>
          <w:bCs/>
          <w:sz w:val="24"/>
          <w:szCs w:val="24"/>
        </w:rPr>
        <w:t xml:space="preserve"> etc.) outlining unacceptable behavior on SEA/H and where relevant referencing existing staff rules for civil servants that may already be in place. Key messages should be disseminated focusing on: i) No sexual or other favor can be requested in exchange for </w:t>
      </w:r>
      <w:r w:rsidR="00E46AD6" w:rsidRPr="004B0954">
        <w:rPr>
          <w:rFonts w:ascii="Times New Roman" w:eastAsia="Times New Roman" w:hAnsi="Times New Roman" w:cs="Times New Roman"/>
          <w:bCs/>
          <w:sz w:val="24"/>
          <w:szCs w:val="24"/>
        </w:rPr>
        <w:t>livelihood support/cash compensation</w:t>
      </w:r>
      <w:r w:rsidRPr="004B0954">
        <w:rPr>
          <w:rFonts w:ascii="Times New Roman" w:eastAsia="Times New Roman" w:hAnsi="Times New Roman" w:cs="Times New Roman"/>
          <w:bCs/>
          <w:sz w:val="24"/>
          <w:szCs w:val="24"/>
        </w:rPr>
        <w:t xml:space="preserve">; ii) </w:t>
      </w:r>
      <w:r w:rsidR="00E46AD6" w:rsidRPr="004B0954">
        <w:rPr>
          <w:rFonts w:ascii="Times New Roman" w:eastAsia="Times New Roman" w:hAnsi="Times New Roman" w:cs="Times New Roman"/>
          <w:bCs/>
          <w:sz w:val="24"/>
          <w:szCs w:val="24"/>
        </w:rPr>
        <w:t>Project</w:t>
      </w:r>
      <w:r w:rsidRPr="004B0954">
        <w:rPr>
          <w:rFonts w:ascii="Times New Roman" w:eastAsia="Times New Roman" w:hAnsi="Times New Roman" w:cs="Times New Roman"/>
          <w:bCs/>
          <w:sz w:val="24"/>
          <w:szCs w:val="24"/>
        </w:rPr>
        <w:t xml:space="preserve"> staff are prohibited from engaging in sexual exploitation and abuse; iii) Any case or suspicion of sexual exploitation and abuse can be reported to [insert hotline number, GM or citizen engagement/feedback mechanism]</w:t>
      </w:r>
      <w:r w:rsidR="0066170D" w:rsidRPr="004B0954">
        <w:rPr>
          <w:rFonts w:ascii="Times New Roman" w:eastAsia="Times New Roman" w:hAnsi="Times New Roman" w:cs="Times New Roman"/>
          <w:bCs/>
          <w:sz w:val="24"/>
          <w:szCs w:val="24"/>
        </w:rPr>
        <w:t xml:space="preserve"> and; iv) </w:t>
      </w:r>
      <w:r w:rsidR="003C3D62" w:rsidRPr="004B0954">
        <w:rPr>
          <w:rFonts w:ascii="Times New Roman" w:eastAsia="Times New Roman" w:hAnsi="Times New Roman" w:cs="Times New Roman"/>
          <w:bCs/>
          <w:sz w:val="24"/>
          <w:szCs w:val="24"/>
        </w:rPr>
        <w:t>t</w:t>
      </w:r>
      <w:r w:rsidR="00D76F3E" w:rsidRPr="004B0954">
        <w:rPr>
          <w:rFonts w:ascii="Times New Roman" w:eastAsia="Times New Roman" w:hAnsi="Times New Roman" w:cs="Times New Roman"/>
          <w:bCs/>
          <w:sz w:val="24"/>
          <w:szCs w:val="24"/>
        </w:rPr>
        <w:t>he importance of timely services/services available.</w:t>
      </w:r>
      <w:r w:rsidR="007D20E3" w:rsidRPr="004B0954">
        <w:rPr>
          <w:rFonts w:ascii="Times New Roman" w:eastAsia="Times New Roman" w:hAnsi="Times New Roman" w:cs="Times New Roman"/>
          <w:bCs/>
          <w:sz w:val="24"/>
          <w:szCs w:val="24"/>
        </w:rPr>
        <w:t xml:space="preserve"> </w:t>
      </w:r>
    </w:p>
    <w:p w14:paraId="07410926" w14:textId="52975EA5" w:rsidR="00D76F3E" w:rsidRPr="004B0954" w:rsidRDefault="0066170D" w:rsidP="00D76F3E">
      <w:pPr>
        <w:pStyle w:val="FootnoteText"/>
        <w:numPr>
          <w:ilvl w:val="0"/>
          <w:numId w:val="6"/>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Project staff will sign Codes of Conduct</w:t>
      </w:r>
      <w:r w:rsidR="003C3D62" w:rsidRPr="004B0954">
        <w:rPr>
          <w:rFonts w:ascii="Times New Roman" w:eastAsia="Times New Roman" w:hAnsi="Times New Roman" w:cs="Times New Roman"/>
          <w:bCs/>
          <w:sz w:val="24"/>
          <w:szCs w:val="24"/>
        </w:rPr>
        <w:t xml:space="preserve">; </w:t>
      </w:r>
      <w:r w:rsidRPr="004B0954">
        <w:rPr>
          <w:rFonts w:ascii="Times New Roman" w:eastAsia="Times New Roman" w:hAnsi="Times New Roman" w:cs="Times New Roman"/>
          <w:bCs/>
          <w:sz w:val="24"/>
          <w:szCs w:val="24"/>
        </w:rPr>
        <w:t xml:space="preserve"> </w:t>
      </w:r>
    </w:p>
    <w:p w14:paraId="6FC1022F" w14:textId="229530B3" w:rsidR="00361B44" w:rsidRPr="004B0954" w:rsidRDefault="00001F13" w:rsidP="00D76F3E">
      <w:pPr>
        <w:pStyle w:val="FootnoteText"/>
        <w:numPr>
          <w:ilvl w:val="1"/>
          <w:numId w:val="6"/>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CoC ca</w:t>
      </w:r>
      <w:r w:rsidR="00361B44" w:rsidRPr="004B0954">
        <w:rPr>
          <w:rFonts w:ascii="Times New Roman" w:eastAsia="Times New Roman" w:hAnsi="Times New Roman" w:cs="Times New Roman"/>
          <w:bCs/>
          <w:sz w:val="24"/>
          <w:szCs w:val="24"/>
        </w:rPr>
        <w:t xml:space="preserve">n be mentioned in </w:t>
      </w:r>
      <w:r w:rsidR="00D76F3E" w:rsidRPr="004B0954">
        <w:rPr>
          <w:rFonts w:ascii="Times New Roman" w:eastAsia="Times New Roman" w:hAnsi="Times New Roman" w:cs="Times New Roman"/>
          <w:bCs/>
          <w:sz w:val="24"/>
          <w:szCs w:val="24"/>
        </w:rPr>
        <w:t>routine</w:t>
      </w:r>
      <w:r w:rsidR="00361B44" w:rsidRPr="004B0954">
        <w:rPr>
          <w:rFonts w:ascii="Times New Roman" w:eastAsia="Times New Roman" w:hAnsi="Times New Roman" w:cs="Times New Roman"/>
          <w:bCs/>
          <w:sz w:val="24"/>
          <w:szCs w:val="24"/>
        </w:rPr>
        <w:t xml:space="preserve"> </w:t>
      </w:r>
      <w:r w:rsidR="00E46AD6" w:rsidRPr="004B0954">
        <w:rPr>
          <w:rFonts w:ascii="Times New Roman" w:eastAsia="Times New Roman" w:hAnsi="Times New Roman" w:cs="Times New Roman"/>
          <w:bCs/>
          <w:sz w:val="24"/>
          <w:szCs w:val="24"/>
        </w:rPr>
        <w:t>project</w:t>
      </w:r>
      <w:r w:rsidR="00361B44" w:rsidRPr="004B0954">
        <w:rPr>
          <w:rFonts w:ascii="Times New Roman" w:eastAsia="Times New Roman" w:hAnsi="Times New Roman" w:cs="Times New Roman"/>
          <w:bCs/>
          <w:sz w:val="24"/>
          <w:szCs w:val="24"/>
        </w:rPr>
        <w:t xml:space="preserve"> protocol briefings</w:t>
      </w:r>
    </w:p>
    <w:p w14:paraId="5429FEED" w14:textId="64918B5F" w:rsidR="00D76F3E" w:rsidRPr="004B0954" w:rsidRDefault="00D76F3E" w:rsidP="00D76F3E">
      <w:pPr>
        <w:pStyle w:val="FootnoteText"/>
        <w:numPr>
          <w:ilvl w:val="1"/>
          <w:numId w:val="6"/>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eastAsia="Times New Roman" w:hAnsi="Times New Roman" w:cs="Times New Roman"/>
          <w:bCs/>
          <w:sz w:val="24"/>
          <w:szCs w:val="24"/>
        </w:rPr>
        <w:t xml:space="preserve">Include session on SEA/SH awareness training, in the </w:t>
      </w:r>
      <w:r w:rsidR="00001F13" w:rsidRPr="004B0954">
        <w:rPr>
          <w:rFonts w:ascii="Times New Roman" w:eastAsia="Times New Roman" w:hAnsi="Times New Roman" w:cs="Times New Roman"/>
          <w:bCs/>
          <w:sz w:val="24"/>
          <w:szCs w:val="24"/>
        </w:rPr>
        <w:t>t</w:t>
      </w:r>
      <w:r w:rsidRPr="004B0954">
        <w:rPr>
          <w:rFonts w:ascii="Times New Roman" w:eastAsia="Times New Roman" w:hAnsi="Times New Roman" w:cs="Times New Roman"/>
          <w:bCs/>
          <w:sz w:val="24"/>
          <w:szCs w:val="24"/>
        </w:rPr>
        <w:t xml:space="preserve">raining and </w:t>
      </w:r>
      <w:r w:rsidR="00001F13" w:rsidRPr="004B0954">
        <w:rPr>
          <w:rFonts w:ascii="Times New Roman" w:eastAsia="Times New Roman" w:hAnsi="Times New Roman" w:cs="Times New Roman"/>
          <w:bCs/>
          <w:sz w:val="24"/>
          <w:szCs w:val="24"/>
        </w:rPr>
        <w:t>c</w:t>
      </w:r>
      <w:r w:rsidRPr="004B0954">
        <w:rPr>
          <w:rFonts w:ascii="Times New Roman" w:eastAsia="Times New Roman" w:hAnsi="Times New Roman" w:cs="Times New Roman"/>
          <w:bCs/>
          <w:sz w:val="24"/>
          <w:szCs w:val="24"/>
        </w:rPr>
        <w:t xml:space="preserve">apacity </w:t>
      </w:r>
      <w:r w:rsidR="00001F13" w:rsidRPr="004B0954">
        <w:rPr>
          <w:rFonts w:ascii="Times New Roman" w:eastAsia="Times New Roman" w:hAnsi="Times New Roman" w:cs="Times New Roman"/>
          <w:bCs/>
          <w:sz w:val="24"/>
          <w:szCs w:val="24"/>
        </w:rPr>
        <w:t>b</w:t>
      </w:r>
      <w:r w:rsidRPr="004B0954">
        <w:rPr>
          <w:rFonts w:ascii="Times New Roman" w:eastAsia="Times New Roman" w:hAnsi="Times New Roman" w:cs="Times New Roman"/>
          <w:bCs/>
          <w:sz w:val="24"/>
          <w:szCs w:val="24"/>
        </w:rPr>
        <w:t>uilding of the response team.</w:t>
      </w:r>
      <w:r w:rsidR="00001F13" w:rsidRPr="004B0954">
        <w:rPr>
          <w:rFonts w:ascii="Times New Roman" w:eastAsia="Times New Roman" w:hAnsi="Times New Roman" w:cs="Times New Roman"/>
          <w:bCs/>
          <w:sz w:val="24"/>
          <w:szCs w:val="24"/>
        </w:rPr>
        <w:t xml:space="preserve"> Focus will be sharing k</w:t>
      </w:r>
      <w:r w:rsidRPr="004B0954">
        <w:rPr>
          <w:rFonts w:ascii="Times New Roman" w:eastAsia="Times New Roman" w:hAnsi="Times New Roman" w:cs="Times New Roman"/>
          <w:bCs/>
          <w:sz w:val="24"/>
          <w:szCs w:val="24"/>
        </w:rPr>
        <w:t xml:space="preserve">ey messages (as above) </w:t>
      </w:r>
      <w:r w:rsidR="00001F13" w:rsidRPr="004B0954">
        <w:rPr>
          <w:rFonts w:ascii="Times New Roman" w:eastAsia="Times New Roman" w:hAnsi="Times New Roman" w:cs="Times New Roman"/>
          <w:bCs/>
          <w:sz w:val="24"/>
          <w:szCs w:val="24"/>
        </w:rPr>
        <w:t>with project staff.</w:t>
      </w:r>
      <w:r w:rsidRPr="004B0954">
        <w:rPr>
          <w:rFonts w:ascii="Times New Roman" w:eastAsia="Times New Roman" w:hAnsi="Times New Roman" w:cs="Times New Roman"/>
          <w:bCs/>
          <w:sz w:val="24"/>
          <w:szCs w:val="24"/>
        </w:rPr>
        <w:t xml:space="preserve"> </w:t>
      </w:r>
    </w:p>
    <w:p w14:paraId="109B9BFA" w14:textId="58459306" w:rsidR="00DF24EC" w:rsidRPr="004B0954" w:rsidRDefault="00001F13"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hAnsi="Times New Roman" w:cs="Times New Roman"/>
          <w:noProof/>
          <w:sz w:val="24"/>
          <w:szCs w:val="24"/>
        </w:rPr>
        <w:t xml:space="preserve">Establish </w:t>
      </w:r>
      <w:r w:rsidR="00DF24EC" w:rsidRPr="004B0954">
        <w:rPr>
          <w:rFonts w:ascii="Times New Roman" w:hAnsi="Times New Roman" w:cs="Times New Roman"/>
          <w:noProof/>
          <w:sz w:val="24"/>
          <w:szCs w:val="24"/>
        </w:rPr>
        <w:t>GBV sensitive channels for reporting in the Grievance Redress Mechanism (GRM)</w:t>
      </w:r>
    </w:p>
    <w:p w14:paraId="3CBB6FDB" w14:textId="77777777" w:rsidR="00DF24EC" w:rsidRPr="004B0954" w:rsidRDefault="00DF24EC"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hAnsi="Times New Roman" w:cs="Times New Roman"/>
          <w:sz w:val="24"/>
          <w:szCs w:val="24"/>
        </w:rPr>
        <w:t xml:space="preserve">Clearly define the GBV requirements and expectations in the </w:t>
      </w:r>
      <w:r w:rsidRPr="004B0954">
        <w:rPr>
          <w:rFonts w:ascii="Times New Roman" w:hAnsi="Times New Roman" w:cs="Times New Roman"/>
          <w:bCs/>
          <w:sz w:val="24"/>
          <w:szCs w:val="24"/>
        </w:rPr>
        <w:t>bid documents and the necessary actions in the CoCs.</w:t>
      </w:r>
    </w:p>
    <w:p w14:paraId="7DBEFA93" w14:textId="6A83C5AB" w:rsidR="00DF24EC" w:rsidRPr="004B0954" w:rsidRDefault="00DF24EC"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hAnsi="Times New Roman" w:cs="Times New Roman"/>
          <w:noProof/>
          <w:sz w:val="24"/>
          <w:szCs w:val="24"/>
        </w:rPr>
        <w:t>The project site will ensure that separate toilet and hygeine facilities are available and functional for men and women working on the site, including inside-locking doors and appropriate lighting</w:t>
      </w:r>
      <w:r w:rsidR="00001F13" w:rsidRPr="004B0954">
        <w:rPr>
          <w:rFonts w:ascii="Times New Roman" w:hAnsi="Times New Roman" w:cs="Times New Roman"/>
          <w:noProof/>
          <w:sz w:val="24"/>
          <w:szCs w:val="24"/>
        </w:rPr>
        <w:t>.</w:t>
      </w:r>
      <w:r w:rsidRPr="004B0954">
        <w:rPr>
          <w:rFonts w:ascii="Times New Roman" w:hAnsi="Times New Roman" w:cs="Times New Roman"/>
          <w:noProof/>
          <w:sz w:val="24"/>
          <w:szCs w:val="24"/>
        </w:rPr>
        <w:t xml:space="preserve"> </w:t>
      </w:r>
    </w:p>
    <w:p w14:paraId="229FC753" w14:textId="7C8BD42F" w:rsidR="001D196E" w:rsidRPr="004B0954" w:rsidRDefault="006D5713" w:rsidP="00DF24EC">
      <w:pPr>
        <w:pStyle w:val="FootnoteText"/>
        <w:numPr>
          <w:ilvl w:val="0"/>
          <w:numId w:val="2"/>
        </w:numPr>
        <w:autoSpaceDE w:val="0"/>
        <w:autoSpaceDN w:val="0"/>
        <w:adjustRightInd w:val="0"/>
        <w:contextualSpacing/>
        <w:jc w:val="both"/>
        <w:rPr>
          <w:rFonts w:ascii="Times New Roman" w:eastAsia="Times New Roman" w:hAnsi="Times New Roman" w:cs="Times New Roman"/>
          <w:bCs/>
          <w:sz w:val="24"/>
          <w:szCs w:val="24"/>
        </w:rPr>
      </w:pPr>
      <w:r w:rsidRPr="004B0954">
        <w:rPr>
          <w:rFonts w:ascii="Times New Roman" w:hAnsi="Times New Roman" w:cs="Times New Roman"/>
          <w:noProof/>
          <w:sz w:val="24"/>
          <w:szCs w:val="24"/>
        </w:rPr>
        <w:t>Coordinate with school communties and organize activites</w:t>
      </w:r>
      <w:r w:rsidR="00E643B4" w:rsidRPr="004B0954">
        <w:rPr>
          <w:rFonts w:ascii="Times New Roman" w:hAnsi="Times New Roman" w:cs="Times New Roman"/>
          <w:noProof/>
          <w:sz w:val="24"/>
          <w:szCs w:val="24"/>
        </w:rPr>
        <w:t xml:space="preserve">/disseminate information on </w:t>
      </w:r>
      <w:r w:rsidRPr="004B0954">
        <w:rPr>
          <w:rFonts w:ascii="Times New Roman" w:hAnsi="Times New Roman" w:cs="Times New Roman"/>
          <w:noProof/>
          <w:sz w:val="24"/>
          <w:szCs w:val="24"/>
        </w:rPr>
        <w:t xml:space="preserve"> </w:t>
      </w:r>
      <w:r w:rsidR="006137F3" w:rsidRPr="004B0954">
        <w:rPr>
          <w:rFonts w:ascii="Times New Roman" w:hAnsi="Times New Roman" w:cs="Times New Roman"/>
          <w:noProof/>
          <w:sz w:val="24"/>
          <w:szCs w:val="24"/>
        </w:rPr>
        <w:t xml:space="preserve">SEA </w:t>
      </w:r>
      <w:r w:rsidRPr="004B0954">
        <w:rPr>
          <w:rFonts w:ascii="Times New Roman" w:hAnsi="Times New Roman" w:cs="Times New Roman"/>
          <w:noProof/>
          <w:sz w:val="24"/>
          <w:szCs w:val="24"/>
        </w:rPr>
        <w:t xml:space="preserve">targeting adolecent girls </w:t>
      </w:r>
    </w:p>
    <w:p w14:paraId="66AE809C"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10"/>
          <w:szCs w:val="10"/>
        </w:rPr>
      </w:pPr>
    </w:p>
    <w:p w14:paraId="0F093E38" w14:textId="1D696E7D" w:rsidR="007E2F3E" w:rsidRPr="004B0954" w:rsidRDefault="007E2F3E" w:rsidP="007E2F3E">
      <w:pPr>
        <w:pStyle w:val="Heading1"/>
        <w:spacing w:after="240"/>
        <w:jc w:val="both"/>
        <w:rPr>
          <w:rFonts w:ascii="Times New Roman" w:hAnsi="Times New Roman" w:cs="Times New Roman"/>
          <w:color w:val="auto"/>
          <w:sz w:val="24"/>
          <w:szCs w:val="24"/>
        </w:rPr>
      </w:pPr>
      <w:bookmarkStart w:id="16" w:name="_Toc48854797"/>
      <w:r w:rsidRPr="004B0954">
        <w:rPr>
          <w:rFonts w:ascii="Times New Roman" w:hAnsi="Times New Roman" w:cs="Times New Roman"/>
          <w:color w:val="auto"/>
          <w:sz w:val="24"/>
          <w:szCs w:val="24"/>
        </w:rPr>
        <w:t>4. Operationalization of this SEA/SH Prevention and Response Plan: Project Annual Work Plan and Budget</w:t>
      </w:r>
      <w:bookmarkEnd w:id="16"/>
      <w:r w:rsidRPr="004B0954">
        <w:rPr>
          <w:rFonts w:ascii="Times New Roman" w:hAnsi="Times New Roman" w:cs="Times New Roman"/>
          <w:color w:val="auto"/>
          <w:sz w:val="24"/>
          <w:szCs w:val="24"/>
        </w:rPr>
        <w:t xml:space="preserve"> </w:t>
      </w:r>
    </w:p>
    <w:p w14:paraId="70A4A576" w14:textId="55C7CD25" w:rsidR="007E2F3E" w:rsidRPr="004B0954" w:rsidRDefault="007E2F3E" w:rsidP="007E2F3E">
      <w:pPr>
        <w:jc w:val="both"/>
        <w:rPr>
          <w:rFonts w:ascii="Times New Roman" w:hAnsi="Times New Roman" w:cs="Times New Roman"/>
          <w:sz w:val="24"/>
          <w:szCs w:val="24"/>
        </w:rPr>
      </w:pPr>
      <w:r w:rsidRPr="004B0954">
        <w:rPr>
          <w:rFonts w:ascii="Times New Roman" w:hAnsi="Times New Roman" w:cs="Times New Roman"/>
          <w:sz w:val="24"/>
          <w:szCs w:val="24"/>
        </w:rPr>
        <w:t>The client will ensure the commitments and planned activities in this SEA/SH Prevention and Response Plan are operationalized through the project annual workplan and budget. The client must include environmental and social activities in this SEA/SH Prevention and Response Plan with estimated budget in the annual work plan and budget. The project annual workplan and budget passes through a review by task team leaders and environmental and social specialists prior to issuance of no objection.</w:t>
      </w:r>
    </w:p>
    <w:p w14:paraId="70415D68"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16A94FB3"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786355AC"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15DAAAE9"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00DB7734"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7E78AF19"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76E24E89"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62EBDE45"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0DBAEAB1"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56CA31CF"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25E5C42B"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7AA363A9"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69333384"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6C4C4929"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459F8D8D"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1506242E"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27A6B6E7"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41C38C9E"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05F654EE"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5624E588"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60867FA6" w14:textId="77777777" w:rsidR="00DF24EC" w:rsidRPr="004B0954" w:rsidRDefault="00DF24EC" w:rsidP="00DF24EC">
      <w:pPr>
        <w:pStyle w:val="FootnoteText"/>
        <w:autoSpaceDE w:val="0"/>
        <w:autoSpaceDN w:val="0"/>
        <w:adjustRightInd w:val="0"/>
        <w:ind w:left="720"/>
        <w:contextualSpacing/>
        <w:jc w:val="both"/>
        <w:rPr>
          <w:rFonts w:ascii="Times New Roman" w:hAnsi="Times New Roman" w:cs="Times New Roman"/>
          <w:noProof/>
          <w:sz w:val="24"/>
          <w:szCs w:val="24"/>
        </w:rPr>
      </w:pPr>
    </w:p>
    <w:p w14:paraId="1A0B5ACD" w14:textId="77777777" w:rsidR="008A797E" w:rsidRPr="004B0954" w:rsidRDefault="008A797E" w:rsidP="002F4ADE">
      <w:pPr>
        <w:pStyle w:val="FootnoteText"/>
        <w:autoSpaceDE w:val="0"/>
        <w:autoSpaceDN w:val="0"/>
        <w:adjustRightInd w:val="0"/>
        <w:contextualSpacing/>
        <w:jc w:val="both"/>
        <w:rPr>
          <w:rFonts w:ascii="Times New Roman" w:eastAsia="Times New Roman" w:hAnsi="Times New Roman" w:cs="Times New Roman"/>
          <w:bCs/>
          <w:sz w:val="24"/>
          <w:szCs w:val="24"/>
        </w:rPr>
        <w:sectPr w:rsidR="008A797E" w:rsidRPr="004B0954" w:rsidSect="008A797E">
          <w:pgSz w:w="12240" w:h="15840"/>
          <w:pgMar w:top="1440" w:right="1440" w:bottom="1440" w:left="1440" w:header="720" w:footer="720" w:gutter="0"/>
          <w:cols w:space="720"/>
          <w:docGrid w:linePitch="360"/>
        </w:sectPr>
      </w:pPr>
    </w:p>
    <w:p w14:paraId="117E3151" w14:textId="0A25CE94" w:rsidR="00DF24EC" w:rsidRPr="004B0954" w:rsidRDefault="006C7169" w:rsidP="009F4B76">
      <w:pPr>
        <w:pStyle w:val="Heading1"/>
        <w:spacing w:after="240"/>
        <w:jc w:val="both"/>
        <w:rPr>
          <w:rFonts w:ascii="Times New Roman" w:hAnsi="Times New Roman" w:cs="Times New Roman"/>
          <w:color w:val="auto"/>
          <w:sz w:val="22"/>
          <w:szCs w:val="22"/>
        </w:rPr>
      </w:pPr>
      <w:bookmarkStart w:id="17" w:name="_Toc39565474"/>
      <w:bookmarkStart w:id="18" w:name="_Toc40731673"/>
      <w:bookmarkStart w:id="19" w:name="_Toc48854798"/>
      <w:r w:rsidRPr="004B0954">
        <w:rPr>
          <w:rFonts w:ascii="Times New Roman" w:hAnsi="Times New Roman" w:cs="Times New Roman"/>
          <w:color w:val="auto"/>
          <w:sz w:val="22"/>
          <w:szCs w:val="22"/>
        </w:rPr>
        <w:t>5</w:t>
      </w:r>
      <w:r w:rsidR="00DF24EC" w:rsidRPr="004B0954">
        <w:rPr>
          <w:rFonts w:ascii="Times New Roman" w:hAnsi="Times New Roman" w:cs="Times New Roman"/>
          <w:color w:val="auto"/>
          <w:sz w:val="22"/>
          <w:szCs w:val="22"/>
        </w:rPr>
        <w:t>.  Detailed Action Plan for the Program: Ethiopia Desert Locust Response</w:t>
      </w:r>
      <w:bookmarkEnd w:id="17"/>
      <w:bookmarkEnd w:id="18"/>
      <w:bookmarkEnd w:id="19"/>
      <w:r w:rsidR="00DF24EC" w:rsidRPr="004B0954">
        <w:rPr>
          <w:rFonts w:ascii="Times New Roman" w:hAnsi="Times New Roman" w:cs="Times New Roman"/>
          <w:color w:val="auto"/>
          <w:sz w:val="22"/>
          <w:szCs w:val="22"/>
        </w:rPr>
        <w:t xml:space="preserve"> </w:t>
      </w:r>
      <w:r w:rsidR="00507967" w:rsidRPr="004B0954">
        <w:rPr>
          <w:rFonts w:ascii="Times New Roman" w:hAnsi="Times New Roman" w:cs="Times New Roman"/>
          <w:color w:val="auto"/>
          <w:sz w:val="22"/>
          <w:szCs w:val="22"/>
        </w:rPr>
        <w:t>Project for AF</w:t>
      </w:r>
    </w:p>
    <w:tbl>
      <w:tblPr>
        <w:tblStyle w:val="TableGrid"/>
        <w:tblW w:w="13680" w:type="dxa"/>
        <w:tblInd w:w="288" w:type="dxa"/>
        <w:tblLayout w:type="fixed"/>
        <w:tblLook w:val="04A0" w:firstRow="1" w:lastRow="0" w:firstColumn="1" w:lastColumn="0" w:noHBand="0" w:noVBand="1"/>
      </w:tblPr>
      <w:tblGrid>
        <w:gridCol w:w="540"/>
        <w:gridCol w:w="129"/>
        <w:gridCol w:w="51"/>
        <w:gridCol w:w="4169"/>
        <w:gridCol w:w="1051"/>
        <w:gridCol w:w="38"/>
        <w:gridCol w:w="14"/>
        <w:gridCol w:w="697"/>
        <w:gridCol w:w="601"/>
        <w:gridCol w:w="38"/>
        <w:gridCol w:w="14"/>
        <w:gridCol w:w="1057"/>
        <w:gridCol w:w="511"/>
        <w:gridCol w:w="38"/>
        <w:gridCol w:w="14"/>
        <w:gridCol w:w="787"/>
        <w:gridCol w:w="474"/>
        <w:gridCol w:w="127"/>
        <w:gridCol w:w="38"/>
        <w:gridCol w:w="1620"/>
        <w:gridCol w:w="1672"/>
      </w:tblGrid>
      <w:tr w:rsidR="004B0954" w:rsidRPr="004B0954" w14:paraId="1316DF80" w14:textId="77777777" w:rsidTr="00345721">
        <w:trPr>
          <w:trHeight w:val="323"/>
        </w:trPr>
        <w:tc>
          <w:tcPr>
            <w:tcW w:w="13680" w:type="dxa"/>
            <w:gridSpan w:val="21"/>
          </w:tcPr>
          <w:p w14:paraId="19209C3F" w14:textId="77777777" w:rsidR="00DF24EC" w:rsidRPr="004B0954" w:rsidRDefault="00DF24EC" w:rsidP="009F4B76">
            <w:pPr>
              <w:spacing w:after="0"/>
              <w:jc w:val="both"/>
              <w:rPr>
                <w:rFonts w:ascii="Times New Roman" w:hAnsi="Times New Roman" w:cs="Times New Roman"/>
                <w:b/>
                <w:bCs/>
                <w:i/>
                <w:noProof/>
              </w:rPr>
            </w:pPr>
            <w:r w:rsidRPr="004B0954">
              <w:rPr>
                <w:rFonts w:ascii="Times New Roman" w:hAnsi="Times New Roman" w:cs="Times New Roman"/>
                <w:b/>
                <w:bCs/>
                <w:i/>
              </w:rPr>
              <w:t>1. Create awareness on GBV in IA and contractors</w:t>
            </w:r>
            <w:r w:rsidRPr="004B0954">
              <w:rPr>
                <w:rFonts w:ascii="Times New Roman" w:hAnsi="Times New Roman" w:cs="Times New Roman"/>
                <w:b/>
                <w:i/>
              </w:rPr>
              <w:t xml:space="preserve"> and the mechanisms that will be implemented</w:t>
            </w:r>
          </w:p>
        </w:tc>
      </w:tr>
      <w:tr w:rsidR="004B0954" w:rsidRPr="004B0954" w14:paraId="6ADBB459" w14:textId="77777777" w:rsidTr="00345721">
        <w:trPr>
          <w:trHeight w:val="611"/>
        </w:trPr>
        <w:tc>
          <w:tcPr>
            <w:tcW w:w="669" w:type="dxa"/>
            <w:gridSpan w:val="2"/>
          </w:tcPr>
          <w:p w14:paraId="6F88F755" w14:textId="77777777" w:rsidR="00DF24EC" w:rsidRPr="004B0954" w:rsidRDefault="00DF24EC" w:rsidP="00E90655">
            <w:pPr>
              <w:jc w:val="both"/>
              <w:rPr>
                <w:rFonts w:ascii="Times New Roman" w:hAnsi="Times New Roman" w:cs="Times New Roman"/>
              </w:rPr>
            </w:pPr>
          </w:p>
        </w:tc>
        <w:tc>
          <w:tcPr>
            <w:tcW w:w="5323" w:type="dxa"/>
            <w:gridSpan w:val="5"/>
          </w:tcPr>
          <w:p w14:paraId="74855CCE" w14:textId="77777777" w:rsidR="00DF24EC" w:rsidRPr="004B0954" w:rsidRDefault="00DF24EC" w:rsidP="009F4B76">
            <w:pPr>
              <w:spacing w:after="0"/>
              <w:jc w:val="both"/>
              <w:rPr>
                <w:rFonts w:ascii="Times New Roman" w:hAnsi="Times New Roman" w:cs="Times New Roman"/>
                <w:b/>
              </w:rPr>
            </w:pPr>
            <w:r w:rsidRPr="004B0954">
              <w:rPr>
                <w:rFonts w:ascii="Times New Roman" w:hAnsi="Times New Roman" w:cs="Times New Roman"/>
                <w:b/>
                <w:bCs/>
              </w:rPr>
              <w:t>Action to Address GBV Risks</w:t>
            </w:r>
          </w:p>
        </w:tc>
        <w:tc>
          <w:tcPr>
            <w:tcW w:w="1350" w:type="dxa"/>
            <w:gridSpan w:val="4"/>
          </w:tcPr>
          <w:p w14:paraId="3B463E73" w14:textId="77777777" w:rsidR="00DF24EC" w:rsidRPr="004B0954" w:rsidRDefault="00DF24EC" w:rsidP="00E90655">
            <w:pPr>
              <w:jc w:val="both"/>
              <w:rPr>
                <w:rFonts w:ascii="Times New Roman" w:hAnsi="Times New Roman" w:cs="Times New Roman"/>
                <w:b/>
              </w:rPr>
            </w:pPr>
            <w:r w:rsidRPr="004B0954">
              <w:rPr>
                <w:rFonts w:ascii="Times New Roman" w:hAnsi="Times New Roman" w:cs="Times New Roman"/>
                <w:b/>
              </w:rPr>
              <w:t>Timeline</w:t>
            </w:r>
          </w:p>
        </w:tc>
        <w:tc>
          <w:tcPr>
            <w:tcW w:w="1620" w:type="dxa"/>
            <w:gridSpan w:val="4"/>
          </w:tcPr>
          <w:p w14:paraId="10D6A61C" w14:textId="6CB7B4FF" w:rsidR="00DF24EC" w:rsidRPr="004B0954" w:rsidRDefault="00DF24EC" w:rsidP="00E90655">
            <w:pPr>
              <w:jc w:val="both"/>
              <w:rPr>
                <w:rFonts w:ascii="Times New Roman" w:hAnsi="Times New Roman" w:cs="Times New Roman"/>
                <w:b/>
              </w:rPr>
            </w:pPr>
            <w:r w:rsidRPr="004B0954">
              <w:rPr>
                <w:rFonts w:ascii="Times New Roman" w:hAnsi="Times New Roman" w:cs="Times New Roman"/>
                <w:b/>
              </w:rPr>
              <w:t>Responsible</w:t>
            </w:r>
            <w:r w:rsidR="00810B9F" w:rsidRPr="004B0954">
              <w:rPr>
                <w:rFonts w:ascii="Times New Roman" w:hAnsi="Times New Roman" w:cs="Times New Roman"/>
                <w:b/>
              </w:rPr>
              <w:t xml:space="preserve"> Body</w:t>
            </w:r>
          </w:p>
        </w:tc>
        <w:tc>
          <w:tcPr>
            <w:tcW w:w="1261" w:type="dxa"/>
            <w:gridSpan w:val="2"/>
          </w:tcPr>
          <w:p w14:paraId="15AF3BF8" w14:textId="77777777" w:rsidR="00DF24EC" w:rsidRPr="004B0954" w:rsidRDefault="00DF24EC" w:rsidP="00E90655">
            <w:pPr>
              <w:jc w:val="both"/>
              <w:rPr>
                <w:rFonts w:ascii="Times New Roman" w:hAnsi="Times New Roman" w:cs="Times New Roman"/>
                <w:b/>
              </w:rPr>
            </w:pPr>
            <w:r w:rsidRPr="004B0954">
              <w:rPr>
                <w:rFonts w:ascii="Times New Roman" w:hAnsi="Times New Roman" w:cs="Times New Roman"/>
                <w:b/>
              </w:rPr>
              <w:t>Budget</w:t>
            </w:r>
          </w:p>
        </w:tc>
        <w:tc>
          <w:tcPr>
            <w:tcW w:w="1785" w:type="dxa"/>
            <w:gridSpan w:val="3"/>
          </w:tcPr>
          <w:p w14:paraId="7E9C4A9E" w14:textId="77777777" w:rsidR="00DF24EC" w:rsidRPr="004B0954" w:rsidRDefault="00DF24EC" w:rsidP="00E90655">
            <w:pPr>
              <w:jc w:val="both"/>
              <w:rPr>
                <w:rFonts w:ascii="Times New Roman" w:hAnsi="Times New Roman" w:cs="Times New Roman"/>
                <w:b/>
              </w:rPr>
            </w:pPr>
            <w:r w:rsidRPr="004B0954">
              <w:rPr>
                <w:rFonts w:ascii="Times New Roman" w:hAnsi="Times New Roman" w:cs="Times New Roman"/>
                <w:b/>
              </w:rPr>
              <w:t>Monitoring</w:t>
            </w:r>
          </w:p>
        </w:tc>
        <w:tc>
          <w:tcPr>
            <w:tcW w:w="1672" w:type="dxa"/>
          </w:tcPr>
          <w:p w14:paraId="4CE79213" w14:textId="77777777" w:rsidR="00DF24EC" w:rsidRPr="004B0954" w:rsidRDefault="00DF24EC" w:rsidP="00E90655">
            <w:pPr>
              <w:jc w:val="both"/>
              <w:rPr>
                <w:rFonts w:ascii="Times New Roman" w:hAnsi="Times New Roman" w:cs="Times New Roman"/>
                <w:b/>
              </w:rPr>
            </w:pPr>
            <w:r w:rsidRPr="004B0954">
              <w:rPr>
                <w:rFonts w:ascii="Times New Roman" w:hAnsi="Times New Roman" w:cs="Times New Roman"/>
                <w:b/>
              </w:rPr>
              <w:t>Remarks</w:t>
            </w:r>
          </w:p>
        </w:tc>
      </w:tr>
      <w:tr w:rsidR="004B0954" w:rsidRPr="004B0954" w14:paraId="1FA5929E" w14:textId="77777777" w:rsidTr="00345721">
        <w:trPr>
          <w:trHeight w:val="611"/>
        </w:trPr>
        <w:tc>
          <w:tcPr>
            <w:tcW w:w="669" w:type="dxa"/>
            <w:gridSpan w:val="2"/>
          </w:tcPr>
          <w:p w14:paraId="439FAB83" w14:textId="721EA972" w:rsidR="000779CE" w:rsidRPr="004B0954" w:rsidRDefault="003D046B" w:rsidP="00E90655">
            <w:pPr>
              <w:jc w:val="both"/>
              <w:rPr>
                <w:rFonts w:ascii="Times New Roman" w:hAnsi="Times New Roman" w:cs="Times New Roman"/>
              </w:rPr>
            </w:pPr>
            <w:r w:rsidRPr="004B0954">
              <w:rPr>
                <w:rFonts w:ascii="Times New Roman" w:hAnsi="Times New Roman" w:cs="Times New Roman"/>
              </w:rPr>
              <w:t>1.1</w:t>
            </w:r>
          </w:p>
        </w:tc>
        <w:tc>
          <w:tcPr>
            <w:tcW w:w="5323" w:type="dxa"/>
            <w:gridSpan w:val="5"/>
          </w:tcPr>
          <w:p w14:paraId="5F83A4EB" w14:textId="27078975" w:rsidR="000779CE" w:rsidRPr="004B0954" w:rsidRDefault="000779CE" w:rsidP="00257FE1">
            <w:pPr>
              <w:spacing w:after="0"/>
              <w:rPr>
                <w:rFonts w:ascii="Times New Roman" w:hAnsi="Times New Roman" w:cs="Times New Roman"/>
                <w:bCs/>
              </w:rPr>
            </w:pPr>
            <w:r w:rsidRPr="004B0954">
              <w:rPr>
                <w:rFonts w:ascii="Times New Roman" w:hAnsi="Times New Roman" w:cs="Times New Roman"/>
                <w:bCs/>
              </w:rPr>
              <w:t xml:space="preserve">Orient and re-orient EELRP  </w:t>
            </w:r>
            <w:r w:rsidR="00DC34E8" w:rsidRPr="004B0954">
              <w:rPr>
                <w:rFonts w:ascii="Times New Roman" w:hAnsi="Times New Roman" w:cs="Times New Roman"/>
                <w:bCs/>
              </w:rPr>
              <w:t>project staff or</w:t>
            </w:r>
            <w:r w:rsidRPr="004B0954">
              <w:rPr>
                <w:rFonts w:ascii="Times New Roman" w:hAnsi="Times New Roman" w:cs="Times New Roman"/>
                <w:bCs/>
              </w:rPr>
              <w:t xml:space="preserve">  members of Project Implementation Unit (PIU</w:t>
            </w:r>
            <w:r w:rsidR="00DC34E8" w:rsidRPr="004B0954">
              <w:rPr>
                <w:rFonts w:ascii="Times New Roman" w:hAnsi="Times New Roman" w:cs="Times New Roman"/>
                <w:bCs/>
              </w:rPr>
              <w:t>)</w:t>
            </w:r>
            <w:r w:rsidR="00555E11" w:rsidRPr="004B0954">
              <w:rPr>
                <w:rFonts w:ascii="Times New Roman" w:hAnsi="Times New Roman" w:cs="Times New Roman"/>
                <w:bCs/>
              </w:rPr>
              <w:t xml:space="preserve"> at MOA, </w:t>
            </w:r>
            <w:r w:rsidRPr="004B0954">
              <w:rPr>
                <w:rFonts w:ascii="Times New Roman" w:hAnsi="Times New Roman" w:cs="Times New Roman"/>
                <w:bCs/>
              </w:rPr>
              <w:t xml:space="preserve"> Regional, zonal and </w:t>
            </w:r>
            <w:r w:rsidR="008F4CBE" w:rsidRPr="004B0954">
              <w:rPr>
                <w:rFonts w:ascii="Times New Roman" w:hAnsi="Times New Roman" w:cs="Times New Roman"/>
                <w:bCs/>
              </w:rPr>
              <w:t>W</w:t>
            </w:r>
            <w:r w:rsidRPr="004B0954">
              <w:rPr>
                <w:rFonts w:ascii="Times New Roman" w:hAnsi="Times New Roman" w:cs="Times New Roman"/>
                <w:bCs/>
              </w:rPr>
              <w:t xml:space="preserve">oreda EELRP focal persons  and </w:t>
            </w:r>
            <w:r w:rsidR="00DC34E8" w:rsidRPr="004B0954">
              <w:rPr>
                <w:rFonts w:ascii="Times New Roman" w:hAnsi="Times New Roman" w:cs="Times New Roman"/>
              </w:rPr>
              <w:t>Contractors</w:t>
            </w:r>
            <w:r w:rsidR="00555E11" w:rsidRPr="004B0954">
              <w:rPr>
                <w:rFonts w:ascii="Times New Roman" w:hAnsi="Times New Roman" w:cs="Times New Roman"/>
              </w:rPr>
              <w:t xml:space="preserve"> and</w:t>
            </w:r>
            <w:r w:rsidR="00DC34E8" w:rsidRPr="004B0954">
              <w:rPr>
                <w:rFonts w:ascii="Times New Roman" w:hAnsi="Times New Roman" w:cs="Times New Roman"/>
              </w:rPr>
              <w:t xml:space="preserve"> </w:t>
            </w:r>
            <w:r w:rsidR="008F4CBE" w:rsidRPr="004B0954">
              <w:rPr>
                <w:rFonts w:ascii="Times New Roman" w:hAnsi="Times New Roman" w:cs="Times New Roman"/>
              </w:rPr>
              <w:t>their</w:t>
            </w:r>
            <w:r w:rsidR="00DC34E8" w:rsidRPr="004B0954">
              <w:rPr>
                <w:rFonts w:ascii="Times New Roman" w:hAnsi="Times New Roman" w:cs="Times New Roman"/>
              </w:rPr>
              <w:t xml:space="preserve"> workers </w:t>
            </w:r>
            <w:r w:rsidRPr="004B0954">
              <w:rPr>
                <w:rFonts w:ascii="Times New Roman" w:hAnsi="Times New Roman" w:cs="Times New Roman"/>
                <w:bCs/>
              </w:rPr>
              <w:t xml:space="preserve">on </w:t>
            </w:r>
            <w:r w:rsidR="00DC34E8" w:rsidRPr="004B0954">
              <w:rPr>
                <w:rFonts w:ascii="Times New Roman" w:hAnsi="Times New Roman" w:cs="Times New Roman"/>
                <w:bCs/>
              </w:rPr>
              <w:t>W</w:t>
            </w:r>
            <w:r w:rsidRPr="004B0954">
              <w:rPr>
                <w:rFonts w:ascii="Times New Roman" w:hAnsi="Times New Roman" w:cs="Times New Roman"/>
                <w:bCs/>
              </w:rPr>
              <w:t xml:space="preserve">orld Bank Good Practice Note on </w:t>
            </w:r>
            <w:r w:rsidR="00DC34E8" w:rsidRPr="004B0954">
              <w:rPr>
                <w:rFonts w:ascii="Times New Roman" w:hAnsi="Times New Roman" w:cs="Times New Roman"/>
                <w:bCs/>
              </w:rPr>
              <w:t xml:space="preserve">how to </w:t>
            </w:r>
            <w:r w:rsidRPr="004B0954">
              <w:rPr>
                <w:rFonts w:ascii="Times New Roman" w:hAnsi="Times New Roman" w:cs="Times New Roman"/>
                <w:bCs/>
              </w:rPr>
              <w:t xml:space="preserve">Address GBV or SEA/SH </w:t>
            </w:r>
          </w:p>
        </w:tc>
        <w:tc>
          <w:tcPr>
            <w:tcW w:w="1350" w:type="dxa"/>
            <w:gridSpan w:val="4"/>
          </w:tcPr>
          <w:p w14:paraId="585AAD87" w14:textId="1A802E2C" w:rsidR="000779CE" w:rsidRPr="004B0954" w:rsidRDefault="00257FE1" w:rsidP="00E90655">
            <w:pPr>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29BFEBEF" w14:textId="36EB61CC" w:rsidR="000779CE" w:rsidRPr="004B0954" w:rsidRDefault="00257FE1" w:rsidP="00E90655">
            <w:pPr>
              <w:jc w:val="both"/>
              <w:rPr>
                <w:rFonts w:ascii="Times New Roman" w:hAnsi="Times New Roman" w:cs="Times New Roman"/>
              </w:rPr>
            </w:pPr>
            <w:r w:rsidRPr="004B0954">
              <w:rPr>
                <w:rFonts w:ascii="Times New Roman" w:hAnsi="Times New Roman" w:cs="Times New Roman"/>
              </w:rPr>
              <w:t>EELRP experts at MOA or (PIU)</w:t>
            </w:r>
          </w:p>
        </w:tc>
        <w:tc>
          <w:tcPr>
            <w:tcW w:w="1261" w:type="dxa"/>
            <w:gridSpan w:val="2"/>
          </w:tcPr>
          <w:p w14:paraId="42CB0C23" w14:textId="7A30C64C" w:rsidR="000779CE" w:rsidRPr="004B0954" w:rsidRDefault="00257FE1" w:rsidP="00E90655">
            <w:pPr>
              <w:jc w:val="both"/>
              <w:rPr>
                <w:rFonts w:ascii="Times New Roman" w:hAnsi="Times New Roman" w:cs="Times New Roman"/>
              </w:rPr>
            </w:pPr>
            <w:r w:rsidRPr="004B0954">
              <w:rPr>
                <w:rFonts w:ascii="Times New Roman" w:hAnsi="Times New Roman" w:cs="Times New Roman"/>
              </w:rPr>
              <w:t xml:space="preserve"> From the AF</w:t>
            </w:r>
          </w:p>
        </w:tc>
        <w:tc>
          <w:tcPr>
            <w:tcW w:w="1785" w:type="dxa"/>
            <w:gridSpan w:val="3"/>
          </w:tcPr>
          <w:p w14:paraId="029D6C2A" w14:textId="6310AFB7" w:rsidR="000779CE" w:rsidRPr="004B0954" w:rsidRDefault="00257FE1" w:rsidP="00E90655">
            <w:pPr>
              <w:jc w:val="both"/>
              <w:rPr>
                <w:rFonts w:ascii="Times New Roman" w:hAnsi="Times New Roman" w:cs="Times New Roman"/>
              </w:rPr>
            </w:pPr>
            <w:r w:rsidRPr="004B0954">
              <w:rPr>
                <w:rFonts w:ascii="Times New Roman" w:hAnsi="Times New Roman" w:cs="Times New Roman"/>
              </w:rPr>
              <w:t>MOA</w:t>
            </w:r>
          </w:p>
        </w:tc>
        <w:tc>
          <w:tcPr>
            <w:tcW w:w="1672" w:type="dxa"/>
          </w:tcPr>
          <w:p w14:paraId="6C4B4BBD" w14:textId="77777777" w:rsidR="000779CE" w:rsidRPr="004B0954" w:rsidRDefault="000779CE" w:rsidP="00E90655">
            <w:pPr>
              <w:jc w:val="both"/>
              <w:rPr>
                <w:rFonts w:ascii="Times New Roman" w:hAnsi="Times New Roman" w:cs="Times New Roman"/>
              </w:rPr>
            </w:pPr>
          </w:p>
        </w:tc>
      </w:tr>
      <w:tr w:rsidR="004B0954" w:rsidRPr="004B0954" w14:paraId="38677F9F" w14:textId="77777777" w:rsidTr="00345721">
        <w:trPr>
          <w:trHeight w:val="242"/>
        </w:trPr>
        <w:tc>
          <w:tcPr>
            <w:tcW w:w="669" w:type="dxa"/>
            <w:gridSpan w:val="2"/>
          </w:tcPr>
          <w:p w14:paraId="1436AC4D" w14:textId="6F98A1DF" w:rsidR="003476C9" w:rsidRPr="004B0954" w:rsidRDefault="003476C9" w:rsidP="00E90655">
            <w:pPr>
              <w:jc w:val="both"/>
              <w:rPr>
                <w:rFonts w:ascii="Times New Roman" w:hAnsi="Times New Roman" w:cs="Times New Roman"/>
              </w:rPr>
            </w:pPr>
            <w:r w:rsidRPr="004B0954">
              <w:rPr>
                <w:rFonts w:ascii="Times New Roman" w:hAnsi="Times New Roman" w:cs="Times New Roman"/>
              </w:rPr>
              <w:t>1.2</w:t>
            </w:r>
          </w:p>
        </w:tc>
        <w:tc>
          <w:tcPr>
            <w:tcW w:w="5323" w:type="dxa"/>
            <w:gridSpan w:val="5"/>
          </w:tcPr>
          <w:p w14:paraId="72F6381E" w14:textId="77777777" w:rsidR="003476C9" w:rsidRPr="004B0954" w:rsidRDefault="003476C9" w:rsidP="003476C9">
            <w:pPr>
              <w:pStyle w:val="ListParagraph"/>
              <w:numPr>
                <w:ilvl w:val="2"/>
                <w:numId w:val="10"/>
              </w:numPr>
              <w:ind w:left="309"/>
              <w:jc w:val="both"/>
              <w:rPr>
                <w:rFonts w:ascii="Times New Roman" w:hAnsi="Times New Roman" w:cs="Times New Roman"/>
                <w:sz w:val="22"/>
                <w:szCs w:val="22"/>
              </w:rPr>
            </w:pPr>
            <w:r w:rsidRPr="004B0954">
              <w:rPr>
                <w:rFonts w:ascii="Times New Roman" w:hAnsi="Times New Roman" w:cs="Times New Roman"/>
                <w:sz w:val="22"/>
                <w:szCs w:val="22"/>
              </w:rPr>
              <w:t>Develop communication and dissemination strategy</w:t>
            </w:r>
          </w:p>
          <w:p w14:paraId="107CAF43" w14:textId="77777777" w:rsidR="003476C9" w:rsidRPr="004B0954" w:rsidRDefault="003476C9" w:rsidP="00257FE1">
            <w:pPr>
              <w:spacing w:after="0"/>
              <w:rPr>
                <w:rFonts w:ascii="Times New Roman" w:hAnsi="Times New Roman" w:cs="Times New Roman"/>
                <w:bCs/>
              </w:rPr>
            </w:pPr>
          </w:p>
        </w:tc>
        <w:tc>
          <w:tcPr>
            <w:tcW w:w="1350" w:type="dxa"/>
            <w:gridSpan w:val="4"/>
          </w:tcPr>
          <w:p w14:paraId="1A5C540A" w14:textId="6E9DE80B" w:rsidR="003476C9" w:rsidRPr="004B0954" w:rsidRDefault="003476C9" w:rsidP="00E90655">
            <w:pPr>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6310CE09" w14:textId="4A47BFCC" w:rsidR="003476C9" w:rsidRPr="004B0954" w:rsidRDefault="003476C9" w:rsidP="00E90655">
            <w:pPr>
              <w:jc w:val="both"/>
              <w:rPr>
                <w:rFonts w:ascii="Times New Roman" w:hAnsi="Times New Roman" w:cs="Times New Roman"/>
              </w:rPr>
            </w:pPr>
            <w:r w:rsidRPr="004B0954">
              <w:rPr>
                <w:rFonts w:ascii="Times New Roman" w:hAnsi="Times New Roman" w:cs="Times New Roman"/>
              </w:rPr>
              <w:t>PIU</w:t>
            </w:r>
          </w:p>
        </w:tc>
        <w:tc>
          <w:tcPr>
            <w:tcW w:w="1261" w:type="dxa"/>
            <w:gridSpan w:val="2"/>
          </w:tcPr>
          <w:p w14:paraId="16BD1746" w14:textId="3861C43E" w:rsidR="003476C9" w:rsidRPr="004B0954" w:rsidRDefault="003476C9" w:rsidP="00E90655">
            <w:pPr>
              <w:jc w:val="both"/>
              <w:rPr>
                <w:rFonts w:ascii="Times New Roman" w:hAnsi="Times New Roman" w:cs="Times New Roman"/>
              </w:rPr>
            </w:pPr>
            <w:r w:rsidRPr="004B0954">
              <w:rPr>
                <w:rFonts w:ascii="Times New Roman" w:hAnsi="Times New Roman" w:cs="Times New Roman"/>
              </w:rPr>
              <w:t>AF</w:t>
            </w:r>
          </w:p>
        </w:tc>
        <w:tc>
          <w:tcPr>
            <w:tcW w:w="1785" w:type="dxa"/>
            <w:gridSpan w:val="3"/>
          </w:tcPr>
          <w:p w14:paraId="6F329066" w14:textId="0C5F3534" w:rsidR="003476C9" w:rsidRPr="004B0954" w:rsidRDefault="003476C9" w:rsidP="00E90655">
            <w:pPr>
              <w:jc w:val="both"/>
              <w:rPr>
                <w:rFonts w:ascii="Times New Roman" w:hAnsi="Times New Roman" w:cs="Times New Roman"/>
              </w:rPr>
            </w:pPr>
            <w:r w:rsidRPr="004B0954">
              <w:rPr>
                <w:rFonts w:ascii="Times New Roman" w:hAnsi="Times New Roman" w:cs="Times New Roman"/>
              </w:rPr>
              <w:t>MOA</w:t>
            </w:r>
          </w:p>
        </w:tc>
        <w:tc>
          <w:tcPr>
            <w:tcW w:w="1672" w:type="dxa"/>
          </w:tcPr>
          <w:p w14:paraId="01DA8D33" w14:textId="77777777" w:rsidR="003476C9" w:rsidRPr="004B0954" w:rsidRDefault="003476C9" w:rsidP="00E90655">
            <w:pPr>
              <w:jc w:val="both"/>
              <w:rPr>
                <w:rFonts w:ascii="Times New Roman" w:hAnsi="Times New Roman" w:cs="Times New Roman"/>
              </w:rPr>
            </w:pPr>
          </w:p>
        </w:tc>
      </w:tr>
      <w:tr w:rsidR="004B0954" w:rsidRPr="004B0954" w14:paraId="3F35182F" w14:textId="77777777" w:rsidTr="00345721">
        <w:trPr>
          <w:trHeight w:val="476"/>
        </w:trPr>
        <w:tc>
          <w:tcPr>
            <w:tcW w:w="669" w:type="dxa"/>
            <w:gridSpan w:val="2"/>
          </w:tcPr>
          <w:p w14:paraId="29F88298" w14:textId="381E43E1" w:rsidR="000779CE" w:rsidRPr="004B0954" w:rsidRDefault="003D046B" w:rsidP="00E90655">
            <w:pPr>
              <w:jc w:val="both"/>
              <w:rPr>
                <w:rFonts w:ascii="Times New Roman" w:hAnsi="Times New Roman" w:cs="Times New Roman"/>
              </w:rPr>
            </w:pPr>
            <w:r w:rsidRPr="004B0954">
              <w:rPr>
                <w:rFonts w:ascii="Times New Roman" w:hAnsi="Times New Roman" w:cs="Times New Roman"/>
              </w:rPr>
              <w:t>1.2</w:t>
            </w:r>
          </w:p>
        </w:tc>
        <w:tc>
          <w:tcPr>
            <w:tcW w:w="5323" w:type="dxa"/>
            <w:gridSpan w:val="5"/>
          </w:tcPr>
          <w:p w14:paraId="328CC5E6" w14:textId="342539A7" w:rsidR="000779CE" w:rsidRPr="004B0954" w:rsidRDefault="000779CE" w:rsidP="008F4CBE">
            <w:pPr>
              <w:rPr>
                <w:rFonts w:ascii="Times New Roman" w:hAnsi="Times New Roman" w:cs="Times New Roman"/>
              </w:rPr>
            </w:pPr>
            <w:r w:rsidRPr="004B0954">
              <w:rPr>
                <w:rFonts w:ascii="Times New Roman" w:hAnsi="Times New Roman" w:cs="Times New Roman"/>
              </w:rPr>
              <w:t>Develop</w:t>
            </w:r>
            <w:r w:rsidR="00DC34E8" w:rsidRPr="004B0954">
              <w:rPr>
                <w:rFonts w:ascii="Times New Roman" w:hAnsi="Times New Roman" w:cs="Times New Roman"/>
              </w:rPr>
              <w:t>,</w:t>
            </w:r>
            <w:r w:rsidRPr="004B0954">
              <w:rPr>
                <w:rFonts w:ascii="Times New Roman" w:hAnsi="Times New Roman" w:cs="Times New Roman"/>
              </w:rPr>
              <w:t xml:space="preserve"> </w:t>
            </w:r>
            <w:r w:rsidR="00DC34E8" w:rsidRPr="004B0954">
              <w:rPr>
                <w:rFonts w:ascii="Times New Roman" w:hAnsi="Times New Roman" w:cs="Times New Roman"/>
              </w:rPr>
              <w:t xml:space="preserve">produce or </w:t>
            </w:r>
            <w:r w:rsidRPr="004B0954">
              <w:rPr>
                <w:rFonts w:ascii="Times New Roman" w:hAnsi="Times New Roman" w:cs="Times New Roman"/>
              </w:rPr>
              <w:t>reproduce</w:t>
            </w:r>
            <w:r w:rsidR="00DC34E8" w:rsidRPr="004B0954">
              <w:rPr>
                <w:rFonts w:ascii="Times New Roman" w:hAnsi="Times New Roman" w:cs="Times New Roman"/>
              </w:rPr>
              <w:t xml:space="preserve"> or reorganize t</w:t>
            </w:r>
            <w:r w:rsidRPr="004B0954">
              <w:rPr>
                <w:rFonts w:ascii="Times New Roman" w:hAnsi="Times New Roman" w:cs="Times New Roman"/>
              </w:rPr>
              <w:t>raining</w:t>
            </w:r>
            <w:r w:rsidR="00DC34E8" w:rsidRPr="004B0954">
              <w:rPr>
                <w:rFonts w:ascii="Times New Roman" w:hAnsi="Times New Roman" w:cs="Times New Roman"/>
              </w:rPr>
              <w:t>/awareness, sensitization m</w:t>
            </w:r>
            <w:r w:rsidRPr="004B0954">
              <w:rPr>
                <w:rFonts w:ascii="Times New Roman" w:hAnsi="Times New Roman" w:cs="Times New Roman"/>
              </w:rPr>
              <w:t xml:space="preserve">aterials/ in line with WB </w:t>
            </w:r>
            <w:r w:rsidR="00DC34E8" w:rsidRPr="004B0954">
              <w:rPr>
                <w:rFonts w:ascii="Times New Roman" w:hAnsi="Times New Roman" w:cs="Times New Roman"/>
              </w:rPr>
              <w:t xml:space="preserve">and GOE related policy and legal </w:t>
            </w:r>
            <w:r w:rsidR="008F4CBE" w:rsidRPr="004B0954">
              <w:rPr>
                <w:rFonts w:ascii="Times New Roman" w:hAnsi="Times New Roman" w:cs="Times New Roman"/>
              </w:rPr>
              <w:t>grounds</w:t>
            </w:r>
          </w:p>
          <w:p w14:paraId="295EFC8D" w14:textId="4017E343" w:rsidR="008F4CBE" w:rsidRPr="004B0954" w:rsidRDefault="008F4CBE" w:rsidP="000779CE">
            <w:pPr>
              <w:pStyle w:val="ListParagraph"/>
              <w:numPr>
                <w:ilvl w:val="2"/>
                <w:numId w:val="10"/>
              </w:numPr>
              <w:ind w:left="293"/>
              <w:jc w:val="both"/>
              <w:rPr>
                <w:rFonts w:ascii="Times New Roman" w:hAnsi="Times New Roman" w:cs="Times New Roman"/>
                <w:sz w:val="22"/>
                <w:szCs w:val="22"/>
              </w:rPr>
            </w:pPr>
            <w:r w:rsidRPr="004B0954">
              <w:rPr>
                <w:rFonts w:ascii="Times New Roman" w:hAnsi="Times New Roman" w:cs="Times New Roman"/>
                <w:sz w:val="22"/>
                <w:szCs w:val="22"/>
              </w:rPr>
              <w:t>Translate and disseminate the</w:t>
            </w:r>
            <w:r w:rsidR="003476C9" w:rsidRPr="004B0954">
              <w:rPr>
                <w:rFonts w:ascii="Times New Roman" w:hAnsi="Times New Roman" w:cs="Times New Roman"/>
                <w:sz w:val="22"/>
                <w:szCs w:val="22"/>
              </w:rPr>
              <w:t xml:space="preserve"> training,</w:t>
            </w:r>
            <w:r w:rsidRPr="004B0954">
              <w:rPr>
                <w:rFonts w:ascii="Times New Roman" w:hAnsi="Times New Roman" w:cs="Times New Roman"/>
                <w:sz w:val="22"/>
                <w:szCs w:val="22"/>
              </w:rPr>
              <w:t xml:space="preserve"> sensitization </w:t>
            </w:r>
            <w:r w:rsidR="00555E11" w:rsidRPr="004B0954">
              <w:rPr>
                <w:rFonts w:ascii="Times New Roman" w:hAnsi="Times New Roman" w:cs="Times New Roman"/>
                <w:sz w:val="22"/>
                <w:szCs w:val="22"/>
              </w:rPr>
              <w:t xml:space="preserve">and communication </w:t>
            </w:r>
            <w:r w:rsidRPr="004B0954">
              <w:rPr>
                <w:rFonts w:ascii="Times New Roman" w:hAnsi="Times New Roman" w:cs="Times New Roman"/>
                <w:sz w:val="22"/>
                <w:szCs w:val="22"/>
              </w:rPr>
              <w:t xml:space="preserve">materials to </w:t>
            </w:r>
            <w:r w:rsidR="003476C9" w:rsidRPr="004B0954">
              <w:rPr>
                <w:rFonts w:ascii="Times New Roman" w:hAnsi="Times New Roman" w:cs="Times New Roman"/>
                <w:sz w:val="22"/>
                <w:szCs w:val="22"/>
              </w:rPr>
              <w:t>project r</w:t>
            </w:r>
            <w:r w:rsidRPr="004B0954">
              <w:rPr>
                <w:rFonts w:ascii="Times New Roman" w:hAnsi="Times New Roman" w:cs="Times New Roman"/>
                <w:sz w:val="22"/>
                <w:szCs w:val="22"/>
              </w:rPr>
              <w:t>egions, city administrations, Zones and Woredas</w:t>
            </w:r>
            <w:r w:rsidR="000779CE" w:rsidRPr="004B0954">
              <w:rPr>
                <w:rFonts w:ascii="Times New Roman" w:hAnsi="Times New Roman" w:cs="Times New Roman"/>
                <w:sz w:val="22"/>
                <w:szCs w:val="22"/>
              </w:rPr>
              <w:t xml:space="preserve"> </w:t>
            </w:r>
            <w:r w:rsidRPr="004B0954">
              <w:rPr>
                <w:rFonts w:ascii="Times New Roman" w:hAnsi="Times New Roman" w:cs="Times New Roman"/>
                <w:sz w:val="22"/>
                <w:szCs w:val="22"/>
              </w:rPr>
              <w:t>in</w:t>
            </w:r>
            <w:r w:rsidR="000779CE" w:rsidRPr="004B0954">
              <w:rPr>
                <w:rFonts w:ascii="Times New Roman" w:hAnsi="Times New Roman" w:cs="Times New Roman"/>
                <w:sz w:val="22"/>
                <w:szCs w:val="22"/>
              </w:rPr>
              <w:t>to respective local languages</w:t>
            </w:r>
            <w:r w:rsidR="00555E11" w:rsidRPr="004B0954">
              <w:rPr>
                <w:rFonts w:ascii="Times New Roman" w:hAnsi="Times New Roman" w:cs="Times New Roman"/>
                <w:sz w:val="22"/>
                <w:szCs w:val="22"/>
              </w:rPr>
              <w:t xml:space="preserve"> using</w:t>
            </w:r>
            <w:r w:rsidR="00880670" w:rsidRPr="004B0954">
              <w:rPr>
                <w:rFonts w:ascii="Times New Roman" w:hAnsi="Times New Roman" w:cs="Times New Roman"/>
                <w:sz w:val="22"/>
                <w:szCs w:val="22"/>
              </w:rPr>
              <w:t xml:space="preserve"> </w:t>
            </w:r>
            <w:r w:rsidR="003476C9" w:rsidRPr="004B0954">
              <w:rPr>
                <w:rFonts w:ascii="Times New Roman" w:hAnsi="Times New Roman" w:cs="Times New Roman"/>
                <w:sz w:val="22"/>
                <w:szCs w:val="22"/>
              </w:rPr>
              <w:t xml:space="preserve">appropriate mechanisms, such as </w:t>
            </w:r>
            <w:r w:rsidR="00555E11" w:rsidRPr="004B0954">
              <w:rPr>
                <w:rFonts w:ascii="Times New Roman" w:hAnsi="Times New Roman" w:cs="Times New Roman"/>
                <w:sz w:val="22"/>
                <w:szCs w:val="22"/>
              </w:rPr>
              <w:t>local radio, poster, banners, TV</w:t>
            </w:r>
            <w:r w:rsidR="003476C9" w:rsidRPr="004B0954">
              <w:rPr>
                <w:rFonts w:ascii="Times New Roman" w:hAnsi="Times New Roman" w:cs="Times New Roman"/>
                <w:sz w:val="22"/>
                <w:szCs w:val="22"/>
              </w:rPr>
              <w:t xml:space="preserve"> (</w:t>
            </w:r>
            <w:r w:rsidR="00555E11" w:rsidRPr="004B0954">
              <w:rPr>
                <w:rFonts w:ascii="Times New Roman" w:hAnsi="Times New Roman" w:cs="Times New Roman"/>
                <w:sz w:val="22"/>
                <w:szCs w:val="22"/>
              </w:rPr>
              <w:t>if possible</w:t>
            </w:r>
            <w:r w:rsidR="003476C9" w:rsidRPr="004B0954">
              <w:rPr>
                <w:rFonts w:ascii="Times New Roman" w:hAnsi="Times New Roman" w:cs="Times New Roman"/>
                <w:sz w:val="22"/>
                <w:szCs w:val="22"/>
              </w:rPr>
              <w:t>)</w:t>
            </w:r>
            <w:r w:rsidR="00555E11" w:rsidRPr="004B0954">
              <w:rPr>
                <w:rFonts w:ascii="Times New Roman" w:hAnsi="Times New Roman" w:cs="Times New Roman"/>
                <w:sz w:val="22"/>
                <w:szCs w:val="22"/>
              </w:rPr>
              <w:t>, community forums</w:t>
            </w:r>
            <w:r w:rsidR="003476C9" w:rsidRPr="004B0954">
              <w:rPr>
                <w:rFonts w:ascii="Times New Roman" w:hAnsi="Times New Roman" w:cs="Times New Roman"/>
                <w:sz w:val="22"/>
                <w:szCs w:val="22"/>
              </w:rPr>
              <w:t>, etc</w:t>
            </w:r>
          </w:p>
          <w:p w14:paraId="3DB6D417" w14:textId="41A96BDA" w:rsidR="008F4CBE" w:rsidRPr="004B0954" w:rsidRDefault="008F4CBE" w:rsidP="00257FE1">
            <w:pPr>
              <w:pStyle w:val="ListParagraph"/>
              <w:numPr>
                <w:ilvl w:val="2"/>
                <w:numId w:val="10"/>
              </w:numPr>
              <w:ind w:left="309"/>
              <w:jc w:val="both"/>
              <w:rPr>
                <w:rFonts w:ascii="Times New Roman" w:hAnsi="Times New Roman" w:cs="Times New Roman"/>
                <w:sz w:val="22"/>
                <w:szCs w:val="22"/>
              </w:rPr>
            </w:pPr>
            <w:r w:rsidRPr="004B0954">
              <w:rPr>
                <w:rFonts w:ascii="Times New Roman" w:hAnsi="Times New Roman" w:cs="Times New Roman"/>
                <w:sz w:val="22"/>
                <w:szCs w:val="22"/>
              </w:rPr>
              <w:t xml:space="preserve">Print </w:t>
            </w:r>
            <w:r w:rsidR="00555E11" w:rsidRPr="004B0954">
              <w:rPr>
                <w:rFonts w:ascii="Times New Roman" w:hAnsi="Times New Roman" w:cs="Times New Roman"/>
                <w:sz w:val="22"/>
                <w:szCs w:val="22"/>
              </w:rPr>
              <w:t xml:space="preserve">and disseminate </w:t>
            </w:r>
            <w:r w:rsidRPr="004B0954">
              <w:rPr>
                <w:rFonts w:ascii="Times New Roman" w:hAnsi="Times New Roman" w:cs="Times New Roman"/>
                <w:sz w:val="22"/>
                <w:szCs w:val="22"/>
              </w:rPr>
              <w:t>communication materials,</w:t>
            </w:r>
          </w:p>
        </w:tc>
        <w:tc>
          <w:tcPr>
            <w:tcW w:w="1350" w:type="dxa"/>
            <w:gridSpan w:val="4"/>
          </w:tcPr>
          <w:p w14:paraId="29F34C26" w14:textId="7B6D8FFF" w:rsidR="000779CE" w:rsidRPr="004B0954" w:rsidRDefault="00257FE1" w:rsidP="00E90655">
            <w:pPr>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75BD26D1" w14:textId="2E98CCFC" w:rsidR="000779CE" w:rsidRPr="004B0954" w:rsidRDefault="00257FE1" w:rsidP="00E90655">
            <w:pPr>
              <w:jc w:val="both"/>
              <w:rPr>
                <w:rFonts w:ascii="Times New Roman" w:hAnsi="Times New Roman" w:cs="Times New Roman"/>
              </w:rPr>
            </w:pPr>
            <w:r w:rsidRPr="004B0954">
              <w:rPr>
                <w:rFonts w:ascii="Times New Roman" w:hAnsi="Times New Roman" w:cs="Times New Roman"/>
              </w:rPr>
              <w:t>PIU</w:t>
            </w:r>
          </w:p>
        </w:tc>
        <w:tc>
          <w:tcPr>
            <w:tcW w:w="1261" w:type="dxa"/>
            <w:gridSpan w:val="2"/>
          </w:tcPr>
          <w:p w14:paraId="74871808" w14:textId="7E50C86F" w:rsidR="000779CE" w:rsidRPr="004B0954" w:rsidRDefault="00122DA7" w:rsidP="00E90655">
            <w:pPr>
              <w:jc w:val="both"/>
              <w:rPr>
                <w:rFonts w:ascii="Times New Roman" w:hAnsi="Times New Roman" w:cs="Times New Roman"/>
              </w:rPr>
            </w:pPr>
            <w:r w:rsidRPr="004B0954">
              <w:rPr>
                <w:rFonts w:ascii="Times New Roman" w:hAnsi="Times New Roman" w:cs="Times New Roman"/>
              </w:rPr>
              <w:t>AF</w:t>
            </w:r>
          </w:p>
        </w:tc>
        <w:tc>
          <w:tcPr>
            <w:tcW w:w="1785" w:type="dxa"/>
            <w:gridSpan w:val="3"/>
          </w:tcPr>
          <w:p w14:paraId="7DB1F1B3" w14:textId="2369E006" w:rsidR="000779CE" w:rsidRPr="004B0954" w:rsidRDefault="00122DA7" w:rsidP="00E90655">
            <w:pPr>
              <w:jc w:val="both"/>
              <w:rPr>
                <w:rFonts w:ascii="Times New Roman" w:hAnsi="Times New Roman" w:cs="Times New Roman"/>
              </w:rPr>
            </w:pPr>
            <w:r w:rsidRPr="004B0954">
              <w:rPr>
                <w:rFonts w:ascii="Times New Roman" w:hAnsi="Times New Roman" w:cs="Times New Roman"/>
              </w:rPr>
              <w:t>MOA</w:t>
            </w:r>
          </w:p>
        </w:tc>
        <w:tc>
          <w:tcPr>
            <w:tcW w:w="1672" w:type="dxa"/>
          </w:tcPr>
          <w:p w14:paraId="2E92578A" w14:textId="77777777" w:rsidR="000779CE" w:rsidRPr="004B0954" w:rsidRDefault="000779CE" w:rsidP="00E90655">
            <w:pPr>
              <w:jc w:val="both"/>
              <w:rPr>
                <w:rFonts w:ascii="Times New Roman" w:hAnsi="Times New Roman" w:cs="Times New Roman"/>
              </w:rPr>
            </w:pPr>
          </w:p>
        </w:tc>
      </w:tr>
      <w:tr w:rsidR="004B0954" w:rsidRPr="004B0954" w14:paraId="095CA105" w14:textId="77777777" w:rsidTr="00345721">
        <w:trPr>
          <w:trHeight w:val="1016"/>
        </w:trPr>
        <w:tc>
          <w:tcPr>
            <w:tcW w:w="669" w:type="dxa"/>
            <w:gridSpan w:val="2"/>
          </w:tcPr>
          <w:p w14:paraId="4AF8CF46" w14:textId="5795EAD7" w:rsidR="00534FFA" w:rsidRPr="004B0954" w:rsidRDefault="003D046B" w:rsidP="00D67D65">
            <w:pPr>
              <w:ind w:left="-104" w:right="-108"/>
              <w:jc w:val="both"/>
              <w:rPr>
                <w:rFonts w:ascii="Times New Roman" w:hAnsi="Times New Roman" w:cs="Times New Roman"/>
              </w:rPr>
            </w:pPr>
            <w:r w:rsidRPr="004B0954">
              <w:rPr>
                <w:rFonts w:ascii="Times New Roman" w:hAnsi="Times New Roman" w:cs="Times New Roman"/>
              </w:rPr>
              <w:t>1.3</w:t>
            </w:r>
          </w:p>
        </w:tc>
        <w:tc>
          <w:tcPr>
            <w:tcW w:w="5323" w:type="dxa"/>
            <w:gridSpan w:val="5"/>
          </w:tcPr>
          <w:p w14:paraId="46348E2A" w14:textId="60D62DEC" w:rsidR="00534FFA" w:rsidRPr="004B0954" w:rsidRDefault="00880670" w:rsidP="00880670">
            <w:pPr>
              <w:rPr>
                <w:rFonts w:ascii="Times New Roman" w:hAnsi="Times New Roman" w:cs="Times New Roman"/>
              </w:rPr>
            </w:pPr>
            <w:r w:rsidRPr="004B0954">
              <w:rPr>
                <w:rFonts w:ascii="Times New Roman" w:hAnsi="Times New Roman" w:cs="Times New Roman"/>
              </w:rPr>
              <w:t xml:space="preserve">MOA in collaboration with </w:t>
            </w:r>
            <w:r w:rsidR="00534FFA" w:rsidRPr="004B0954">
              <w:rPr>
                <w:rFonts w:ascii="Times New Roman" w:hAnsi="Times New Roman" w:cs="Times New Roman"/>
              </w:rPr>
              <w:t xml:space="preserve">GBV/SEA/SH focal </w:t>
            </w:r>
            <w:r w:rsidRPr="004B0954">
              <w:rPr>
                <w:rFonts w:ascii="Times New Roman" w:hAnsi="Times New Roman" w:cs="Times New Roman"/>
              </w:rPr>
              <w:t xml:space="preserve">persons </w:t>
            </w:r>
            <w:r w:rsidR="00534FFA" w:rsidRPr="004B0954">
              <w:rPr>
                <w:rFonts w:ascii="Times New Roman" w:hAnsi="Times New Roman" w:cs="Times New Roman"/>
              </w:rPr>
              <w:t xml:space="preserve">at Regional Bureau of Agriculture  </w:t>
            </w:r>
            <w:r w:rsidR="00507967" w:rsidRPr="004B0954">
              <w:rPr>
                <w:rFonts w:ascii="Times New Roman" w:hAnsi="Times New Roman" w:cs="Times New Roman"/>
              </w:rPr>
              <w:t>shall conduct GB</w:t>
            </w:r>
            <w:r w:rsidRPr="004B0954">
              <w:rPr>
                <w:rFonts w:ascii="Times New Roman" w:hAnsi="Times New Roman" w:cs="Times New Roman"/>
              </w:rPr>
              <w:t>V/SEA/SH risks and mitigation measures in the project regions</w:t>
            </w:r>
          </w:p>
        </w:tc>
        <w:tc>
          <w:tcPr>
            <w:tcW w:w="1350" w:type="dxa"/>
            <w:gridSpan w:val="4"/>
          </w:tcPr>
          <w:p w14:paraId="693EC403" w14:textId="06EC86E3" w:rsidR="00534FFA" w:rsidRPr="004B0954" w:rsidRDefault="00122DA7" w:rsidP="00E90655">
            <w:pPr>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27F2905E" w14:textId="0DE2461D" w:rsidR="00534FFA" w:rsidRPr="004B0954" w:rsidRDefault="00122DA7" w:rsidP="00E90655">
            <w:pPr>
              <w:jc w:val="both"/>
              <w:rPr>
                <w:rFonts w:ascii="Times New Roman" w:hAnsi="Times New Roman" w:cs="Times New Roman"/>
              </w:rPr>
            </w:pPr>
            <w:r w:rsidRPr="004B0954">
              <w:rPr>
                <w:rFonts w:ascii="Times New Roman" w:hAnsi="Times New Roman" w:cs="Times New Roman"/>
              </w:rPr>
              <w:t>RBOA</w:t>
            </w:r>
          </w:p>
        </w:tc>
        <w:tc>
          <w:tcPr>
            <w:tcW w:w="1261" w:type="dxa"/>
            <w:gridSpan w:val="2"/>
          </w:tcPr>
          <w:p w14:paraId="1F99217E" w14:textId="25580288" w:rsidR="00534FFA" w:rsidRPr="004B0954" w:rsidRDefault="00122DA7" w:rsidP="00E90655">
            <w:pPr>
              <w:jc w:val="both"/>
              <w:rPr>
                <w:rFonts w:ascii="Times New Roman" w:hAnsi="Times New Roman" w:cs="Times New Roman"/>
              </w:rPr>
            </w:pPr>
            <w:r w:rsidRPr="004B0954">
              <w:rPr>
                <w:rFonts w:ascii="Times New Roman" w:hAnsi="Times New Roman" w:cs="Times New Roman"/>
              </w:rPr>
              <w:t>AF</w:t>
            </w:r>
          </w:p>
        </w:tc>
        <w:tc>
          <w:tcPr>
            <w:tcW w:w="1785" w:type="dxa"/>
            <w:gridSpan w:val="3"/>
          </w:tcPr>
          <w:p w14:paraId="50A6B338" w14:textId="1DAA9192" w:rsidR="00534FFA" w:rsidRPr="004B0954" w:rsidRDefault="00122DA7" w:rsidP="00E90655">
            <w:pPr>
              <w:jc w:val="both"/>
              <w:rPr>
                <w:rFonts w:ascii="Times New Roman" w:hAnsi="Times New Roman" w:cs="Times New Roman"/>
              </w:rPr>
            </w:pPr>
            <w:r w:rsidRPr="004B0954">
              <w:rPr>
                <w:rFonts w:ascii="Times New Roman" w:hAnsi="Times New Roman" w:cs="Times New Roman"/>
              </w:rPr>
              <w:t>BOA</w:t>
            </w:r>
          </w:p>
        </w:tc>
        <w:tc>
          <w:tcPr>
            <w:tcW w:w="1672" w:type="dxa"/>
          </w:tcPr>
          <w:p w14:paraId="26363A05" w14:textId="77777777" w:rsidR="00534FFA" w:rsidRPr="004B0954" w:rsidRDefault="00534FFA" w:rsidP="00E90655">
            <w:pPr>
              <w:jc w:val="both"/>
              <w:rPr>
                <w:rFonts w:ascii="Times New Roman" w:hAnsi="Times New Roman" w:cs="Times New Roman"/>
              </w:rPr>
            </w:pPr>
          </w:p>
        </w:tc>
      </w:tr>
      <w:tr w:rsidR="004B0954" w:rsidRPr="004B0954" w14:paraId="770FBEDE" w14:textId="77777777" w:rsidTr="00345721">
        <w:trPr>
          <w:trHeight w:val="341"/>
        </w:trPr>
        <w:tc>
          <w:tcPr>
            <w:tcW w:w="669" w:type="dxa"/>
            <w:gridSpan w:val="2"/>
          </w:tcPr>
          <w:p w14:paraId="70E7533C" w14:textId="32188D40" w:rsidR="003D046B" w:rsidRPr="004B0954" w:rsidRDefault="003D046B" w:rsidP="00534FFA">
            <w:pPr>
              <w:jc w:val="both"/>
              <w:rPr>
                <w:rFonts w:ascii="Times New Roman" w:hAnsi="Times New Roman" w:cs="Times New Roman"/>
              </w:rPr>
            </w:pPr>
          </w:p>
          <w:p w14:paraId="09A2A52F" w14:textId="75711DF4" w:rsidR="00DF24EC" w:rsidRPr="004B0954" w:rsidRDefault="003D046B" w:rsidP="00534FFA">
            <w:pPr>
              <w:jc w:val="both"/>
              <w:rPr>
                <w:rFonts w:ascii="Times New Roman" w:hAnsi="Times New Roman" w:cs="Times New Roman"/>
              </w:rPr>
            </w:pPr>
            <w:r w:rsidRPr="004B0954">
              <w:rPr>
                <w:rFonts w:ascii="Times New Roman" w:hAnsi="Times New Roman" w:cs="Times New Roman"/>
              </w:rPr>
              <w:t>1.4</w:t>
            </w:r>
          </w:p>
        </w:tc>
        <w:tc>
          <w:tcPr>
            <w:tcW w:w="5323" w:type="dxa"/>
            <w:gridSpan w:val="5"/>
          </w:tcPr>
          <w:p w14:paraId="65F53B12" w14:textId="5F93C1F0" w:rsidR="00DF24EC" w:rsidRPr="004B0954" w:rsidRDefault="00AE1396" w:rsidP="00E90655">
            <w:pPr>
              <w:jc w:val="both"/>
              <w:rPr>
                <w:rFonts w:ascii="Times New Roman" w:hAnsi="Times New Roman" w:cs="Times New Roman"/>
              </w:rPr>
            </w:pPr>
            <w:r w:rsidRPr="004B0954">
              <w:rPr>
                <w:rFonts w:ascii="Times New Roman" w:hAnsi="Times New Roman" w:cs="Times New Roman"/>
              </w:rPr>
              <w:t>Develop</w:t>
            </w:r>
            <w:r w:rsidR="00534FFA" w:rsidRPr="004B0954">
              <w:rPr>
                <w:rFonts w:ascii="Times New Roman" w:hAnsi="Times New Roman" w:cs="Times New Roman"/>
              </w:rPr>
              <w:t>/adapt/revise (if any) Sexual Exploitation and Abuse (SEA)/ Sexual Harassment(</w:t>
            </w:r>
            <w:r w:rsidR="00691DE1" w:rsidRPr="004B0954">
              <w:rPr>
                <w:rFonts w:ascii="Times New Roman" w:hAnsi="Times New Roman" w:cs="Times New Roman"/>
              </w:rPr>
              <w:t>SH</w:t>
            </w:r>
            <w:r w:rsidR="00534FFA" w:rsidRPr="004B0954">
              <w:rPr>
                <w:rFonts w:ascii="Times New Roman" w:hAnsi="Times New Roman" w:cs="Times New Roman"/>
              </w:rPr>
              <w:t>)</w:t>
            </w:r>
            <w:r w:rsidR="00691DE1" w:rsidRPr="004B0954">
              <w:rPr>
                <w:rFonts w:ascii="Times New Roman" w:hAnsi="Times New Roman" w:cs="Times New Roman"/>
              </w:rPr>
              <w:t xml:space="preserve"> prevention and response </w:t>
            </w:r>
            <w:r w:rsidR="00534FFA" w:rsidRPr="004B0954">
              <w:rPr>
                <w:rFonts w:ascii="Times New Roman" w:hAnsi="Times New Roman" w:cs="Times New Roman"/>
              </w:rPr>
              <w:t>strateg</w:t>
            </w:r>
            <w:r w:rsidR="00464DD3" w:rsidRPr="004B0954">
              <w:rPr>
                <w:rFonts w:ascii="Times New Roman" w:hAnsi="Times New Roman" w:cs="Times New Roman"/>
              </w:rPr>
              <w:t>ies</w:t>
            </w:r>
            <w:r w:rsidR="00534FFA" w:rsidRPr="004B0954">
              <w:rPr>
                <w:rFonts w:ascii="Times New Roman" w:hAnsi="Times New Roman" w:cs="Times New Roman"/>
              </w:rPr>
              <w:t xml:space="preserve"> that can guide the EELRP implementation related actions by the ministry</w:t>
            </w:r>
            <w:r w:rsidR="00464DD3" w:rsidRPr="004B0954">
              <w:rPr>
                <w:rFonts w:ascii="Times New Roman" w:hAnsi="Times New Roman" w:cs="Times New Roman"/>
              </w:rPr>
              <w:t xml:space="preserve"> to address GBV/SEA/SH</w:t>
            </w:r>
            <w:r w:rsidR="00691DE1" w:rsidRPr="004B0954">
              <w:rPr>
                <w:rFonts w:ascii="Times New Roman" w:hAnsi="Times New Roman" w:cs="Times New Roman"/>
              </w:rPr>
              <w:t xml:space="preserve"> </w:t>
            </w:r>
          </w:p>
          <w:p w14:paraId="3FA7B073" w14:textId="6DCB445D" w:rsidR="00E643B4" w:rsidRPr="004B0954" w:rsidRDefault="00E643B4" w:rsidP="00D67D65">
            <w:pPr>
              <w:pStyle w:val="ListParagraph"/>
              <w:ind w:left="2160"/>
              <w:jc w:val="both"/>
              <w:rPr>
                <w:rFonts w:ascii="Times New Roman" w:hAnsi="Times New Roman" w:cs="Times New Roman"/>
                <w:sz w:val="22"/>
                <w:szCs w:val="22"/>
              </w:rPr>
            </w:pPr>
          </w:p>
        </w:tc>
        <w:tc>
          <w:tcPr>
            <w:tcW w:w="1350" w:type="dxa"/>
            <w:gridSpan w:val="4"/>
          </w:tcPr>
          <w:p w14:paraId="1F290458" w14:textId="7C201352" w:rsidR="00DF24EC" w:rsidRPr="004B0954" w:rsidRDefault="00DF24EC" w:rsidP="00122DA7">
            <w:pPr>
              <w:jc w:val="both"/>
              <w:rPr>
                <w:rFonts w:ascii="Times New Roman" w:hAnsi="Times New Roman" w:cs="Times New Roman"/>
              </w:rPr>
            </w:pPr>
          </w:p>
        </w:tc>
        <w:tc>
          <w:tcPr>
            <w:tcW w:w="1620" w:type="dxa"/>
            <w:gridSpan w:val="4"/>
          </w:tcPr>
          <w:p w14:paraId="03987246" w14:textId="77C7739F" w:rsidR="00DF24EC" w:rsidRPr="004B0954" w:rsidRDefault="00DF24EC" w:rsidP="00E5170D">
            <w:pPr>
              <w:jc w:val="both"/>
              <w:rPr>
                <w:rFonts w:ascii="Times New Roman" w:hAnsi="Times New Roman" w:cs="Times New Roman"/>
              </w:rPr>
            </w:pPr>
          </w:p>
        </w:tc>
        <w:tc>
          <w:tcPr>
            <w:tcW w:w="1261" w:type="dxa"/>
            <w:gridSpan w:val="2"/>
          </w:tcPr>
          <w:p w14:paraId="56267FF6" w14:textId="39AB9AA1" w:rsidR="00DF24EC" w:rsidRPr="004B0954" w:rsidRDefault="00E5170D" w:rsidP="00E90655">
            <w:pPr>
              <w:jc w:val="both"/>
              <w:rPr>
                <w:rFonts w:ascii="Times New Roman" w:hAnsi="Times New Roman" w:cs="Times New Roman"/>
              </w:rPr>
            </w:pPr>
            <w:r w:rsidRPr="004B0954">
              <w:rPr>
                <w:rFonts w:ascii="Times New Roman" w:hAnsi="Times New Roman" w:cs="Times New Roman"/>
              </w:rPr>
              <w:t xml:space="preserve">AF </w:t>
            </w:r>
          </w:p>
          <w:p w14:paraId="0A6493CA" w14:textId="6BFE6158" w:rsidR="002F336B" w:rsidRPr="004B0954" w:rsidRDefault="002F336B" w:rsidP="00E90655">
            <w:pPr>
              <w:jc w:val="both"/>
              <w:rPr>
                <w:rFonts w:ascii="Times New Roman" w:hAnsi="Times New Roman" w:cs="Times New Roman"/>
              </w:rPr>
            </w:pPr>
          </w:p>
        </w:tc>
        <w:tc>
          <w:tcPr>
            <w:tcW w:w="1785" w:type="dxa"/>
            <w:gridSpan w:val="3"/>
          </w:tcPr>
          <w:p w14:paraId="4F86743D" w14:textId="0757D81A" w:rsidR="00DF24EC" w:rsidRPr="004B0954" w:rsidRDefault="00E5170D" w:rsidP="00E90655">
            <w:pPr>
              <w:jc w:val="both"/>
              <w:rPr>
                <w:rFonts w:ascii="Times New Roman" w:hAnsi="Times New Roman" w:cs="Times New Roman"/>
              </w:rPr>
            </w:pPr>
            <w:r w:rsidRPr="004B0954">
              <w:rPr>
                <w:rFonts w:ascii="Times New Roman" w:hAnsi="Times New Roman" w:cs="Times New Roman"/>
              </w:rPr>
              <w:t>MOA</w:t>
            </w:r>
            <w:r w:rsidR="00DF24EC" w:rsidRPr="004B0954">
              <w:rPr>
                <w:rFonts w:ascii="Times New Roman" w:hAnsi="Times New Roman" w:cs="Times New Roman"/>
              </w:rPr>
              <w:t xml:space="preserve"> </w:t>
            </w:r>
          </w:p>
        </w:tc>
        <w:tc>
          <w:tcPr>
            <w:tcW w:w="1672" w:type="dxa"/>
          </w:tcPr>
          <w:p w14:paraId="7426296A" w14:textId="77777777" w:rsidR="00DF24EC" w:rsidRPr="004B0954" w:rsidRDefault="00DF24EC" w:rsidP="00E90655">
            <w:pPr>
              <w:jc w:val="both"/>
              <w:rPr>
                <w:rFonts w:ascii="Times New Roman" w:hAnsi="Times New Roman" w:cs="Times New Roman"/>
              </w:rPr>
            </w:pPr>
          </w:p>
        </w:tc>
      </w:tr>
      <w:tr w:rsidR="004B0954" w:rsidRPr="004B0954" w14:paraId="062A28AE" w14:textId="77777777" w:rsidTr="00345721">
        <w:trPr>
          <w:trHeight w:val="1709"/>
        </w:trPr>
        <w:tc>
          <w:tcPr>
            <w:tcW w:w="669" w:type="dxa"/>
            <w:gridSpan w:val="2"/>
          </w:tcPr>
          <w:p w14:paraId="0DC7C6A6" w14:textId="7707BB65" w:rsidR="00DF24EC" w:rsidRPr="004B0954" w:rsidRDefault="003D046B" w:rsidP="003D046B">
            <w:pPr>
              <w:jc w:val="both"/>
              <w:rPr>
                <w:rFonts w:ascii="Times New Roman" w:hAnsi="Times New Roman" w:cs="Times New Roman"/>
              </w:rPr>
            </w:pPr>
            <w:r w:rsidRPr="004B0954">
              <w:rPr>
                <w:rFonts w:ascii="Times New Roman" w:hAnsi="Times New Roman" w:cs="Times New Roman"/>
              </w:rPr>
              <w:t xml:space="preserve"> 1.5</w:t>
            </w:r>
          </w:p>
        </w:tc>
        <w:tc>
          <w:tcPr>
            <w:tcW w:w="5323" w:type="dxa"/>
            <w:gridSpan w:val="5"/>
          </w:tcPr>
          <w:p w14:paraId="441C9304" w14:textId="6C90B517" w:rsidR="00DF24EC" w:rsidRPr="004B0954" w:rsidRDefault="00257FE1" w:rsidP="001F4B4C">
            <w:pPr>
              <w:spacing w:after="0"/>
              <w:jc w:val="both"/>
              <w:rPr>
                <w:rFonts w:ascii="Times New Roman" w:hAnsi="Times New Roman" w:cs="Times New Roman"/>
              </w:rPr>
            </w:pPr>
            <w:r w:rsidRPr="004B0954">
              <w:rPr>
                <w:rFonts w:ascii="Times New Roman" w:hAnsi="Times New Roman" w:cs="Times New Roman"/>
              </w:rPr>
              <w:t xml:space="preserve">Provide refresher consultations </w:t>
            </w:r>
            <w:r w:rsidR="00674272" w:rsidRPr="004B0954">
              <w:rPr>
                <w:rFonts w:ascii="Times New Roman" w:hAnsi="Times New Roman" w:cs="Times New Roman"/>
              </w:rPr>
              <w:t>with</w:t>
            </w:r>
            <w:r w:rsidR="001F4B4C" w:rsidRPr="004B0954">
              <w:rPr>
                <w:rFonts w:ascii="Times New Roman" w:hAnsi="Times New Roman" w:cs="Times New Roman"/>
              </w:rPr>
              <w:t xml:space="preserve"> desert locust </w:t>
            </w:r>
            <w:r w:rsidR="00507967" w:rsidRPr="004B0954">
              <w:rPr>
                <w:rFonts w:ascii="Times New Roman" w:hAnsi="Times New Roman" w:cs="Times New Roman"/>
              </w:rPr>
              <w:t>prevention</w:t>
            </w:r>
            <w:r w:rsidR="001F4B4C" w:rsidRPr="004B0954">
              <w:rPr>
                <w:rFonts w:ascii="Times New Roman" w:hAnsi="Times New Roman" w:cs="Times New Roman"/>
              </w:rPr>
              <w:t xml:space="preserve"> and control project holders (MOA and its structure down the aisle)</w:t>
            </w:r>
            <w:r w:rsidR="00674272" w:rsidRPr="004B0954">
              <w:rPr>
                <w:rFonts w:ascii="Times New Roman" w:hAnsi="Times New Roman" w:cs="Times New Roman"/>
              </w:rPr>
              <w:t xml:space="preserve"> </w:t>
            </w:r>
            <w:r w:rsidR="001F4B4C" w:rsidRPr="004B0954">
              <w:rPr>
                <w:rFonts w:ascii="Times New Roman" w:hAnsi="Times New Roman" w:cs="Times New Roman"/>
              </w:rPr>
              <w:t xml:space="preserve">all key collaborative </w:t>
            </w:r>
            <w:r w:rsidR="00674272" w:rsidRPr="004B0954">
              <w:rPr>
                <w:rFonts w:ascii="Times New Roman" w:hAnsi="Times New Roman" w:cs="Times New Roman"/>
              </w:rPr>
              <w:t xml:space="preserve">stakeholders </w:t>
            </w:r>
            <w:r w:rsidR="001F4B4C" w:rsidRPr="004B0954">
              <w:rPr>
                <w:rFonts w:ascii="Times New Roman" w:hAnsi="Times New Roman" w:cs="Times New Roman"/>
              </w:rPr>
              <w:t>to enhance</w:t>
            </w:r>
            <w:r w:rsidRPr="004B0954">
              <w:rPr>
                <w:rFonts w:ascii="Times New Roman" w:hAnsi="Times New Roman" w:cs="Times New Roman"/>
              </w:rPr>
              <w:t xml:space="preserve">  a</w:t>
            </w:r>
            <w:r w:rsidR="00DF24EC" w:rsidRPr="004B0954">
              <w:rPr>
                <w:rFonts w:ascii="Times New Roman" w:hAnsi="Times New Roman" w:cs="Times New Roman"/>
              </w:rPr>
              <w:t xml:space="preserve">wareness </w:t>
            </w:r>
            <w:r w:rsidR="001F4B4C" w:rsidRPr="004B0954">
              <w:rPr>
                <w:rFonts w:ascii="Times New Roman" w:hAnsi="Times New Roman" w:cs="Times New Roman"/>
              </w:rPr>
              <w:t>and sharpen intervention capacities and</w:t>
            </w:r>
          </w:p>
        </w:tc>
        <w:tc>
          <w:tcPr>
            <w:tcW w:w="1350" w:type="dxa"/>
            <w:gridSpan w:val="4"/>
          </w:tcPr>
          <w:p w14:paraId="1740C996" w14:textId="068034AF" w:rsidR="00DF24EC" w:rsidRPr="004B0954" w:rsidRDefault="000E7198" w:rsidP="00486306">
            <w:pPr>
              <w:spacing w:after="0"/>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2B823DC2"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 xml:space="preserve">MOA </w:t>
            </w:r>
          </w:p>
        </w:tc>
        <w:tc>
          <w:tcPr>
            <w:tcW w:w="1261" w:type="dxa"/>
            <w:gridSpan w:val="2"/>
          </w:tcPr>
          <w:p w14:paraId="3E881325" w14:textId="7F71E4D4" w:rsidR="00DF24EC" w:rsidRPr="004B0954" w:rsidRDefault="00480D5A" w:rsidP="00486306">
            <w:pPr>
              <w:spacing w:after="0"/>
              <w:jc w:val="both"/>
              <w:rPr>
                <w:rFonts w:ascii="Times New Roman" w:hAnsi="Times New Roman" w:cs="Times New Roman"/>
                <w:noProof/>
              </w:rPr>
            </w:pPr>
            <w:r w:rsidRPr="004B0954">
              <w:rPr>
                <w:rFonts w:ascii="Times New Roman" w:hAnsi="Times New Roman" w:cs="Times New Roman"/>
              </w:rPr>
              <w:t>AF</w:t>
            </w:r>
          </w:p>
        </w:tc>
        <w:tc>
          <w:tcPr>
            <w:tcW w:w="1785" w:type="dxa"/>
            <w:gridSpan w:val="3"/>
          </w:tcPr>
          <w:p w14:paraId="055339DA" w14:textId="4F648F40" w:rsidR="00DF24EC" w:rsidRPr="004B0954" w:rsidRDefault="00480D5A" w:rsidP="00486306">
            <w:pPr>
              <w:spacing w:after="0"/>
              <w:jc w:val="both"/>
              <w:rPr>
                <w:rFonts w:ascii="Times New Roman" w:hAnsi="Times New Roman" w:cs="Times New Roman"/>
                <w:noProof/>
              </w:rPr>
            </w:pPr>
            <w:r w:rsidRPr="004B0954">
              <w:rPr>
                <w:rFonts w:ascii="Times New Roman" w:hAnsi="Times New Roman" w:cs="Times New Roman"/>
                <w:noProof/>
              </w:rPr>
              <w:t>MOA</w:t>
            </w:r>
          </w:p>
        </w:tc>
        <w:tc>
          <w:tcPr>
            <w:tcW w:w="1672" w:type="dxa"/>
          </w:tcPr>
          <w:p w14:paraId="0B7798B6" w14:textId="511D4596" w:rsidR="00D67D65" w:rsidRPr="004B0954" w:rsidRDefault="00DF24EC" w:rsidP="00E90655">
            <w:pPr>
              <w:jc w:val="both"/>
              <w:rPr>
                <w:rFonts w:ascii="Times New Roman" w:hAnsi="Times New Roman" w:cs="Times New Roman"/>
                <w:noProof/>
              </w:rPr>
            </w:pPr>
            <w:r w:rsidRPr="004B0954">
              <w:rPr>
                <w:rFonts w:ascii="Times New Roman" w:hAnsi="Times New Roman" w:cs="Times New Roman"/>
                <w:noProof/>
              </w:rPr>
              <w:t xml:space="preserve">MOA </w:t>
            </w:r>
            <w:r w:rsidR="00480D5A" w:rsidRPr="004B0954">
              <w:rPr>
                <w:rFonts w:ascii="Times New Roman" w:hAnsi="Times New Roman" w:cs="Times New Roman"/>
                <w:noProof/>
              </w:rPr>
              <w:t>may need to request technical support from Stakeholders, such as WB</w:t>
            </w:r>
          </w:p>
        </w:tc>
      </w:tr>
      <w:tr w:rsidR="004B0954" w:rsidRPr="004B0954" w14:paraId="227AA169" w14:textId="77777777" w:rsidTr="00345721">
        <w:trPr>
          <w:trHeight w:val="1178"/>
        </w:trPr>
        <w:tc>
          <w:tcPr>
            <w:tcW w:w="669" w:type="dxa"/>
            <w:gridSpan w:val="2"/>
          </w:tcPr>
          <w:p w14:paraId="00616AD6" w14:textId="3D887BAF" w:rsidR="00257FE1" w:rsidRPr="004B0954" w:rsidRDefault="003D046B" w:rsidP="00E90655">
            <w:pPr>
              <w:jc w:val="both"/>
              <w:rPr>
                <w:rFonts w:ascii="Times New Roman" w:hAnsi="Times New Roman" w:cs="Times New Roman"/>
              </w:rPr>
            </w:pPr>
            <w:r w:rsidRPr="004B0954">
              <w:rPr>
                <w:rFonts w:ascii="Times New Roman" w:hAnsi="Times New Roman" w:cs="Times New Roman"/>
              </w:rPr>
              <w:t>1.6</w:t>
            </w:r>
          </w:p>
        </w:tc>
        <w:tc>
          <w:tcPr>
            <w:tcW w:w="5323" w:type="dxa"/>
            <w:gridSpan w:val="5"/>
          </w:tcPr>
          <w:p w14:paraId="344C4DF6" w14:textId="1922D89E" w:rsidR="00257FE1" w:rsidRPr="004B0954" w:rsidRDefault="00257FE1" w:rsidP="001F4B4C">
            <w:pPr>
              <w:spacing w:after="0"/>
              <w:jc w:val="both"/>
              <w:rPr>
                <w:rFonts w:ascii="Times New Roman" w:hAnsi="Times New Roman" w:cs="Times New Roman"/>
              </w:rPr>
            </w:pPr>
            <w:r w:rsidRPr="004B0954">
              <w:rPr>
                <w:rFonts w:ascii="Times New Roman" w:hAnsi="Times New Roman" w:cs="Times New Roman"/>
              </w:rPr>
              <w:t xml:space="preserve">Conduct GBV/SEA/SH trainings to Woreda/Zone Agriculture  offices and Focal persons of </w:t>
            </w:r>
            <w:r w:rsidR="001F4B4C" w:rsidRPr="004B0954">
              <w:rPr>
                <w:rFonts w:ascii="Times New Roman" w:hAnsi="Times New Roman" w:cs="Times New Roman"/>
              </w:rPr>
              <w:t>EELRP</w:t>
            </w:r>
            <w:r w:rsidRPr="004B0954">
              <w:rPr>
                <w:rFonts w:ascii="Times New Roman" w:hAnsi="Times New Roman" w:cs="Times New Roman"/>
              </w:rPr>
              <w:t xml:space="preserve">  and Woreda and Zone level stakeholders  </w:t>
            </w:r>
          </w:p>
        </w:tc>
        <w:tc>
          <w:tcPr>
            <w:tcW w:w="1350" w:type="dxa"/>
            <w:gridSpan w:val="4"/>
          </w:tcPr>
          <w:p w14:paraId="6E57B560" w14:textId="719730F2" w:rsidR="00257FE1" w:rsidRPr="004B0954" w:rsidRDefault="00480D5A" w:rsidP="00486306">
            <w:pPr>
              <w:spacing w:after="0"/>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35D61864" w14:textId="29D7C504" w:rsidR="00257FE1" w:rsidRPr="004B0954" w:rsidRDefault="00480D5A" w:rsidP="00E90655">
            <w:pPr>
              <w:jc w:val="both"/>
              <w:rPr>
                <w:rFonts w:ascii="Times New Roman" w:hAnsi="Times New Roman" w:cs="Times New Roman"/>
              </w:rPr>
            </w:pPr>
            <w:r w:rsidRPr="004B0954">
              <w:rPr>
                <w:rFonts w:ascii="Times New Roman" w:hAnsi="Times New Roman" w:cs="Times New Roman"/>
              </w:rPr>
              <w:t>Woreda Agriculture office</w:t>
            </w:r>
          </w:p>
        </w:tc>
        <w:tc>
          <w:tcPr>
            <w:tcW w:w="1261" w:type="dxa"/>
            <w:gridSpan w:val="2"/>
          </w:tcPr>
          <w:p w14:paraId="7172792F" w14:textId="0ABA5E8A" w:rsidR="00257FE1" w:rsidRPr="004B0954" w:rsidRDefault="00480D5A" w:rsidP="00486306">
            <w:pPr>
              <w:spacing w:after="0"/>
              <w:jc w:val="both"/>
              <w:rPr>
                <w:rFonts w:ascii="Times New Roman" w:hAnsi="Times New Roman" w:cs="Times New Roman"/>
              </w:rPr>
            </w:pPr>
            <w:r w:rsidRPr="004B0954">
              <w:rPr>
                <w:rFonts w:ascii="Times New Roman" w:hAnsi="Times New Roman" w:cs="Times New Roman"/>
              </w:rPr>
              <w:t>AF</w:t>
            </w:r>
          </w:p>
        </w:tc>
        <w:tc>
          <w:tcPr>
            <w:tcW w:w="1785" w:type="dxa"/>
            <w:gridSpan w:val="3"/>
          </w:tcPr>
          <w:p w14:paraId="4F9FFD81" w14:textId="5BC74241" w:rsidR="00257FE1" w:rsidRPr="004B0954" w:rsidRDefault="00480D5A" w:rsidP="00486306">
            <w:pPr>
              <w:spacing w:after="0"/>
              <w:jc w:val="both"/>
              <w:rPr>
                <w:rFonts w:ascii="Times New Roman" w:hAnsi="Times New Roman" w:cs="Times New Roman"/>
                <w:noProof/>
              </w:rPr>
            </w:pPr>
            <w:r w:rsidRPr="004B0954">
              <w:rPr>
                <w:rFonts w:ascii="Times New Roman" w:hAnsi="Times New Roman" w:cs="Times New Roman"/>
                <w:noProof/>
              </w:rPr>
              <w:t xml:space="preserve"> Woreda Burea of agriculture</w:t>
            </w:r>
          </w:p>
        </w:tc>
        <w:tc>
          <w:tcPr>
            <w:tcW w:w="1672" w:type="dxa"/>
          </w:tcPr>
          <w:p w14:paraId="47CD1A66" w14:textId="77777777" w:rsidR="00257FE1" w:rsidRPr="004B0954" w:rsidRDefault="00257FE1" w:rsidP="00E90655">
            <w:pPr>
              <w:jc w:val="both"/>
              <w:rPr>
                <w:rFonts w:ascii="Times New Roman" w:hAnsi="Times New Roman" w:cs="Times New Roman"/>
                <w:noProof/>
              </w:rPr>
            </w:pPr>
          </w:p>
        </w:tc>
      </w:tr>
      <w:tr w:rsidR="004B0954" w:rsidRPr="004B0954" w14:paraId="093F7C3B" w14:textId="77777777" w:rsidTr="00345721">
        <w:trPr>
          <w:trHeight w:val="170"/>
        </w:trPr>
        <w:tc>
          <w:tcPr>
            <w:tcW w:w="13680" w:type="dxa"/>
            <w:gridSpan w:val="21"/>
          </w:tcPr>
          <w:p w14:paraId="1A675548" w14:textId="77777777" w:rsidR="00DF24EC" w:rsidRPr="004B0954" w:rsidRDefault="00DF24EC" w:rsidP="009F4B76">
            <w:pPr>
              <w:spacing w:after="0"/>
              <w:jc w:val="both"/>
              <w:rPr>
                <w:rFonts w:ascii="Times New Roman" w:hAnsi="Times New Roman" w:cs="Times New Roman"/>
                <w:b/>
                <w:i/>
                <w:noProof/>
              </w:rPr>
            </w:pPr>
            <w:r w:rsidRPr="004B0954">
              <w:rPr>
                <w:rFonts w:ascii="Times New Roman" w:hAnsi="Times New Roman" w:cs="Times New Roman"/>
                <w:b/>
                <w:i/>
                <w:noProof/>
              </w:rPr>
              <w:t>2. GBV Risks adequately addressed in safeguards instruments</w:t>
            </w:r>
          </w:p>
        </w:tc>
      </w:tr>
      <w:tr w:rsidR="004B0954" w:rsidRPr="004B0954" w14:paraId="42DA3991" w14:textId="77777777" w:rsidTr="00345721">
        <w:trPr>
          <w:trHeight w:val="565"/>
        </w:trPr>
        <w:tc>
          <w:tcPr>
            <w:tcW w:w="669" w:type="dxa"/>
            <w:gridSpan w:val="2"/>
          </w:tcPr>
          <w:p w14:paraId="29B005DD" w14:textId="0F27EE21" w:rsidR="000E7198" w:rsidRPr="004B0954" w:rsidRDefault="000E7198" w:rsidP="00E90655">
            <w:pPr>
              <w:jc w:val="both"/>
              <w:rPr>
                <w:rFonts w:ascii="Times New Roman" w:hAnsi="Times New Roman" w:cs="Times New Roman"/>
              </w:rPr>
            </w:pPr>
          </w:p>
          <w:p w14:paraId="638DAB70" w14:textId="60DDC620" w:rsidR="00DF24EC" w:rsidRPr="004B0954" w:rsidRDefault="000E7198" w:rsidP="00E90655">
            <w:pPr>
              <w:jc w:val="both"/>
              <w:rPr>
                <w:rFonts w:ascii="Times New Roman" w:hAnsi="Times New Roman" w:cs="Times New Roman"/>
              </w:rPr>
            </w:pPr>
            <w:r w:rsidRPr="004B0954">
              <w:rPr>
                <w:rFonts w:ascii="Times New Roman" w:hAnsi="Times New Roman" w:cs="Times New Roman"/>
              </w:rPr>
              <w:t>2.1</w:t>
            </w:r>
          </w:p>
        </w:tc>
        <w:tc>
          <w:tcPr>
            <w:tcW w:w="5323" w:type="dxa"/>
            <w:gridSpan w:val="5"/>
          </w:tcPr>
          <w:p w14:paraId="4CF6D6E1" w14:textId="737DC787" w:rsidR="00DF24EC" w:rsidRPr="004B0954" w:rsidRDefault="003D046B" w:rsidP="00B36E87">
            <w:pPr>
              <w:jc w:val="both"/>
              <w:rPr>
                <w:rFonts w:ascii="Times New Roman" w:hAnsi="Times New Roman" w:cs="Times New Roman"/>
              </w:rPr>
            </w:pPr>
            <w:r w:rsidRPr="004B0954">
              <w:rPr>
                <w:rFonts w:ascii="Times New Roman" w:hAnsi="Times New Roman" w:cs="Times New Roman"/>
              </w:rPr>
              <w:t>Prepare GBV/SEA/SH mapping</w:t>
            </w:r>
            <w:r w:rsidR="00B36E87" w:rsidRPr="004B0954">
              <w:rPr>
                <w:rFonts w:ascii="Times New Roman" w:hAnsi="Times New Roman" w:cs="Times New Roman"/>
              </w:rPr>
              <w:t xml:space="preserve"> or SEA/SH situation assessment</w:t>
            </w:r>
            <w:r w:rsidRPr="004B0954">
              <w:rPr>
                <w:rFonts w:ascii="Times New Roman" w:hAnsi="Times New Roman" w:cs="Times New Roman"/>
              </w:rPr>
              <w:t xml:space="preserve"> </w:t>
            </w:r>
            <w:r w:rsidR="008E45DA" w:rsidRPr="004B0954">
              <w:rPr>
                <w:rFonts w:ascii="Times New Roman" w:hAnsi="Times New Roman" w:cs="Times New Roman"/>
              </w:rPr>
              <w:t xml:space="preserve"> to understand the intensity</w:t>
            </w:r>
            <w:r w:rsidR="00B36E87" w:rsidRPr="004B0954">
              <w:rPr>
                <w:rFonts w:ascii="Times New Roman" w:hAnsi="Times New Roman" w:cs="Times New Roman"/>
              </w:rPr>
              <w:t>, or level or occurrence of BGV/SEA/SH cases</w:t>
            </w:r>
            <w:r w:rsidR="008E45DA" w:rsidRPr="004B0954">
              <w:rPr>
                <w:rFonts w:ascii="Times New Roman" w:hAnsi="Times New Roman" w:cs="Times New Roman"/>
              </w:rPr>
              <w:t xml:space="preserve"> so as to </w:t>
            </w:r>
            <w:r w:rsidR="00B36E87" w:rsidRPr="004B0954">
              <w:rPr>
                <w:rFonts w:ascii="Times New Roman" w:hAnsi="Times New Roman" w:cs="Times New Roman"/>
              </w:rPr>
              <w:t>evaluate the necessary actions and interventions</w:t>
            </w:r>
            <w:r w:rsidR="008E45DA" w:rsidRPr="004B0954">
              <w:rPr>
                <w:rFonts w:ascii="Times New Roman" w:hAnsi="Times New Roman" w:cs="Times New Roman"/>
              </w:rPr>
              <w:t xml:space="preserve">  </w:t>
            </w:r>
            <w:r w:rsidRPr="004B0954">
              <w:rPr>
                <w:rFonts w:ascii="Times New Roman" w:hAnsi="Times New Roman" w:cs="Times New Roman"/>
              </w:rPr>
              <w:t xml:space="preserve">in the EELRP regions </w:t>
            </w:r>
          </w:p>
        </w:tc>
        <w:tc>
          <w:tcPr>
            <w:tcW w:w="1350" w:type="dxa"/>
            <w:gridSpan w:val="4"/>
          </w:tcPr>
          <w:p w14:paraId="349E64DC" w14:textId="64CF3BAB" w:rsidR="00DF24EC" w:rsidRPr="004B0954" w:rsidRDefault="00480D5A" w:rsidP="00E90655">
            <w:pPr>
              <w:jc w:val="both"/>
              <w:rPr>
                <w:rFonts w:ascii="Times New Roman" w:hAnsi="Times New Roman" w:cs="Times New Roman"/>
              </w:rPr>
            </w:pPr>
            <w:r w:rsidRPr="004B0954">
              <w:rPr>
                <w:rFonts w:ascii="Times New Roman" w:hAnsi="Times New Roman" w:cs="Times New Roman"/>
              </w:rPr>
              <w:t>2022-2023</w:t>
            </w:r>
          </w:p>
        </w:tc>
        <w:tc>
          <w:tcPr>
            <w:tcW w:w="1620" w:type="dxa"/>
            <w:gridSpan w:val="4"/>
          </w:tcPr>
          <w:p w14:paraId="3B900DB6"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 xml:space="preserve">MOA </w:t>
            </w:r>
          </w:p>
        </w:tc>
        <w:tc>
          <w:tcPr>
            <w:tcW w:w="1426" w:type="dxa"/>
            <w:gridSpan w:val="4"/>
          </w:tcPr>
          <w:p w14:paraId="73DE4320" w14:textId="7D30FE50" w:rsidR="00480D5A" w:rsidRPr="004B0954" w:rsidRDefault="00480D5A" w:rsidP="00E90655">
            <w:pPr>
              <w:jc w:val="both"/>
              <w:rPr>
                <w:rFonts w:ascii="Times New Roman" w:hAnsi="Times New Roman" w:cs="Times New Roman"/>
                <w:noProof/>
              </w:rPr>
            </w:pPr>
          </w:p>
          <w:p w14:paraId="206AC507" w14:textId="30C220F5" w:rsidR="00DF24EC" w:rsidRPr="004B0954" w:rsidRDefault="00480D5A" w:rsidP="00E90655">
            <w:pPr>
              <w:jc w:val="both"/>
              <w:rPr>
                <w:rFonts w:ascii="Times New Roman" w:hAnsi="Times New Roman" w:cs="Times New Roman"/>
                <w:noProof/>
              </w:rPr>
            </w:pPr>
            <w:r w:rsidRPr="004B0954">
              <w:rPr>
                <w:rFonts w:ascii="Times New Roman" w:hAnsi="Times New Roman" w:cs="Times New Roman"/>
                <w:noProof/>
              </w:rPr>
              <w:t>AF</w:t>
            </w:r>
          </w:p>
        </w:tc>
        <w:tc>
          <w:tcPr>
            <w:tcW w:w="1620" w:type="dxa"/>
          </w:tcPr>
          <w:p w14:paraId="3E86BF52" w14:textId="1F26F6F0" w:rsidR="00DF24EC" w:rsidRPr="004B0954" w:rsidRDefault="00FD423D" w:rsidP="009F4B76">
            <w:pPr>
              <w:spacing w:after="0"/>
              <w:jc w:val="both"/>
              <w:rPr>
                <w:rFonts w:ascii="Times New Roman" w:hAnsi="Times New Roman" w:cs="Times New Roman"/>
              </w:rPr>
            </w:pPr>
            <w:r w:rsidRPr="004B0954">
              <w:rPr>
                <w:rFonts w:ascii="Times New Roman" w:hAnsi="Times New Roman" w:cs="Times New Roman"/>
              </w:rPr>
              <w:t>Agriculture office</w:t>
            </w:r>
          </w:p>
        </w:tc>
        <w:tc>
          <w:tcPr>
            <w:tcW w:w="1672" w:type="dxa"/>
          </w:tcPr>
          <w:p w14:paraId="52668A73" w14:textId="77777777" w:rsidR="00DF24EC" w:rsidRPr="004B0954" w:rsidRDefault="00DF24EC" w:rsidP="00E90655">
            <w:pPr>
              <w:jc w:val="both"/>
              <w:rPr>
                <w:rFonts w:ascii="Times New Roman" w:hAnsi="Times New Roman" w:cs="Times New Roman"/>
                <w:noProof/>
              </w:rPr>
            </w:pPr>
            <w:r w:rsidRPr="004B0954">
              <w:rPr>
                <w:rFonts w:ascii="Times New Roman" w:hAnsi="Times New Roman" w:cs="Times New Roman"/>
                <w:noProof/>
              </w:rPr>
              <w:t>WB to provide techncial support</w:t>
            </w:r>
          </w:p>
        </w:tc>
      </w:tr>
      <w:tr w:rsidR="004B0954" w:rsidRPr="004B0954" w14:paraId="34082484" w14:textId="77777777" w:rsidTr="00345721">
        <w:trPr>
          <w:trHeight w:val="565"/>
        </w:trPr>
        <w:tc>
          <w:tcPr>
            <w:tcW w:w="669" w:type="dxa"/>
            <w:gridSpan w:val="2"/>
          </w:tcPr>
          <w:p w14:paraId="71BC35D3" w14:textId="4CDFA857" w:rsidR="00FC3EED" w:rsidRPr="004B0954" w:rsidDel="000E7198" w:rsidRDefault="00FC3EED" w:rsidP="00E90655">
            <w:pPr>
              <w:jc w:val="both"/>
              <w:rPr>
                <w:rFonts w:ascii="Times New Roman" w:hAnsi="Times New Roman" w:cs="Times New Roman"/>
              </w:rPr>
            </w:pPr>
            <w:r w:rsidRPr="004B0954">
              <w:rPr>
                <w:rFonts w:ascii="Times New Roman" w:hAnsi="Times New Roman" w:cs="Times New Roman"/>
              </w:rPr>
              <w:t>2.2</w:t>
            </w:r>
          </w:p>
        </w:tc>
        <w:tc>
          <w:tcPr>
            <w:tcW w:w="5323" w:type="dxa"/>
            <w:gridSpan w:val="5"/>
          </w:tcPr>
          <w:p w14:paraId="5C69E626" w14:textId="48CA0636" w:rsidR="00FC3EED" w:rsidRPr="004B0954" w:rsidRDefault="00FC3EED" w:rsidP="00B36E87">
            <w:pPr>
              <w:jc w:val="both"/>
              <w:rPr>
                <w:rFonts w:ascii="Times New Roman" w:hAnsi="Times New Roman" w:cs="Times New Roman"/>
              </w:rPr>
            </w:pPr>
            <w:r w:rsidRPr="004B0954">
              <w:rPr>
                <w:rFonts w:ascii="Times New Roman" w:hAnsi="Times New Roman" w:cs="Times New Roman"/>
              </w:rPr>
              <w:t xml:space="preserve">Develop GBV/SEA/SH response </w:t>
            </w:r>
            <w:r w:rsidR="00F826ED" w:rsidRPr="004B0954">
              <w:rPr>
                <w:rFonts w:ascii="Times New Roman" w:hAnsi="Times New Roman" w:cs="Times New Roman"/>
              </w:rPr>
              <w:t>framework that</w:t>
            </w:r>
            <w:r w:rsidR="00FD423D" w:rsidRPr="004B0954">
              <w:rPr>
                <w:rFonts w:ascii="Times New Roman" w:hAnsi="Times New Roman" w:cs="Times New Roman"/>
              </w:rPr>
              <w:t xml:space="preserve"> </w:t>
            </w:r>
            <w:r w:rsidR="00B36E87" w:rsidRPr="004B0954">
              <w:rPr>
                <w:rFonts w:ascii="Times New Roman" w:hAnsi="Times New Roman" w:cs="Times New Roman"/>
              </w:rPr>
              <w:t>standardize and reconfigure</w:t>
            </w:r>
            <w:r w:rsidR="00FD423D" w:rsidRPr="004B0954">
              <w:rPr>
                <w:rFonts w:ascii="Times New Roman" w:hAnsi="Times New Roman" w:cs="Times New Roman"/>
              </w:rPr>
              <w:t xml:space="preserve"> </w:t>
            </w:r>
            <w:r w:rsidRPr="004B0954">
              <w:rPr>
                <w:rFonts w:ascii="Times New Roman" w:hAnsi="Times New Roman" w:cs="Times New Roman"/>
              </w:rPr>
              <w:t xml:space="preserve">measures </w:t>
            </w:r>
            <w:r w:rsidR="00B36E87" w:rsidRPr="004B0954">
              <w:rPr>
                <w:rFonts w:ascii="Times New Roman" w:hAnsi="Times New Roman" w:cs="Times New Roman"/>
              </w:rPr>
              <w:t>per local and cultural contexts. This could be facilitated by</w:t>
            </w:r>
            <w:r w:rsidRPr="004B0954">
              <w:rPr>
                <w:rFonts w:ascii="Times New Roman" w:hAnsi="Times New Roman" w:cs="Times New Roman"/>
              </w:rPr>
              <w:t xml:space="preserve"> </w:t>
            </w:r>
            <w:r w:rsidR="00B36E87" w:rsidRPr="004B0954">
              <w:rPr>
                <w:rFonts w:ascii="Times New Roman" w:hAnsi="Times New Roman" w:cs="Times New Roman"/>
              </w:rPr>
              <w:t>MOA and by its regional and local structures</w:t>
            </w:r>
            <w:r w:rsidR="00FD423D" w:rsidRPr="004B0954">
              <w:rPr>
                <w:rFonts w:ascii="Times New Roman" w:hAnsi="Times New Roman" w:cs="Times New Roman"/>
              </w:rPr>
              <w:t xml:space="preserve"> </w:t>
            </w:r>
          </w:p>
        </w:tc>
        <w:tc>
          <w:tcPr>
            <w:tcW w:w="1350" w:type="dxa"/>
            <w:gridSpan w:val="4"/>
          </w:tcPr>
          <w:p w14:paraId="65AF1B71" w14:textId="77777777" w:rsidR="00FC3EED" w:rsidRPr="004B0954" w:rsidRDefault="00FC3EED" w:rsidP="00E90655">
            <w:pPr>
              <w:jc w:val="both"/>
              <w:rPr>
                <w:rFonts w:ascii="Times New Roman" w:hAnsi="Times New Roman" w:cs="Times New Roman"/>
              </w:rPr>
            </w:pPr>
          </w:p>
        </w:tc>
        <w:tc>
          <w:tcPr>
            <w:tcW w:w="1620" w:type="dxa"/>
            <w:gridSpan w:val="4"/>
          </w:tcPr>
          <w:p w14:paraId="09BC9D83" w14:textId="77777777" w:rsidR="00FC3EED" w:rsidRPr="004B0954" w:rsidRDefault="00FC3EED" w:rsidP="00E90655">
            <w:pPr>
              <w:jc w:val="both"/>
              <w:rPr>
                <w:rFonts w:ascii="Times New Roman" w:hAnsi="Times New Roman" w:cs="Times New Roman"/>
              </w:rPr>
            </w:pPr>
          </w:p>
        </w:tc>
        <w:tc>
          <w:tcPr>
            <w:tcW w:w="1426" w:type="dxa"/>
            <w:gridSpan w:val="4"/>
          </w:tcPr>
          <w:p w14:paraId="23F36DCD" w14:textId="77777777" w:rsidR="00FC3EED" w:rsidRPr="004B0954" w:rsidRDefault="00FC3EED" w:rsidP="00E90655">
            <w:pPr>
              <w:jc w:val="both"/>
              <w:rPr>
                <w:rFonts w:ascii="Times New Roman" w:hAnsi="Times New Roman" w:cs="Times New Roman"/>
                <w:noProof/>
              </w:rPr>
            </w:pPr>
          </w:p>
        </w:tc>
        <w:tc>
          <w:tcPr>
            <w:tcW w:w="1620" w:type="dxa"/>
          </w:tcPr>
          <w:p w14:paraId="4CC828B0" w14:textId="77777777" w:rsidR="00FC3EED" w:rsidRPr="004B0954" w:rsidRDefault="00FC3EED" w:rsidP="00E90655">
            <w:pPr>
              <w:jc w:val="both"/>
              <w:rPr>
                <w:rFonts w:ascii="Times New Roman" w:hAnsi="Times New Roman" w:cs="Times New Roman"/>
              </w:rPr>
            </w:pPr>
          </w:p>
        </w:tc>
        <w:tc>
          <w:tcPr>
            <w:tcW w:w="1672" w:type="dxa"/>
          </w:tcPr>
          <w:p w14:paraId="35CDD243" w14:textId="2E855C2C" w:rsidR="00FC3EED" w:rsidRPr="004B0954" w:rsidRDefault="00F826ED" w:rsidP="00D67D65">
            <w:pPr>
              <w:rPr>
                <w:rFonts w:ascii="Times New Roman" w:hAnsi="Times New Roman" w:cs="Times New Roman"/>
                <w:noProof/>
              </w:rPr>
            </w:pPr>
            <w:r w:rsidRPr="004B0954">
              <w:rPr>
                <w:rFonts w:ascii="Times New Roman" w:hAnsi="Times New Roman" w:cs="Times New Roman"/>
                <w:noProof/>
              </w:rPr>
              <w:t>GBV</w:t>
            </w:r>
            <w:r w:rsidR="00FC3EED" w:rsidRPr="004B0954">
              <w:rPr>
                <w:rFonts w:ascii="Times New Roman" w:hAnsi="Times New Roman" w:cs="Times New Roman"/>
                <w:noProof/>
              </w:rPr>
              <w:t xml:space="preserve"> framework </w:t>
            </w:r>
            <w:r w:rsidRPr="004B0954">
              <w:rPr>
                <w:rFonts w:ascii="Times New Roman" w:hAnsi="Times New Roman" w:cs="Times New Roman"/>
                <w:noProof/>
              </w:rPr>
              <w:t>may pave</w:t>
            </w:r>
            <w:r w:rsidR="00FC3EED" w:rsidRPr="004B0954">
              <w:rPr>
                <w:rFonts w:ascii="Times New Roman" w:hAnsi="Times New Roman" w:cs="Times New Roman"/>
                <w:noProof/>
              </w:rPr>
              <w:t xml:space="preserve"> </w:t>
            </w:r>
            <w:r w:rsidR="00DD734C" w:rsidRPr="004B0954">
              <w:rPr>
                <w:rFonts w:ascii="Times New Roman" w:hAnsi="Times New Roman" w:cs="Times New Roman"/>
                <w:noProof/>
              </w:rPr>
              <w:t>differential scale of interventions as it pays attention to differing contextx</w:t>
            </w:r>
          </w:p>
        </w:tc>
      </w:tr>
      <w:tr w:rsidR="004B0954" w:rsidRPr="004B0954" w14:paraId="5DF61ECD" w14:textId="77777777" w:rsidTr="00345721">
        <w:trPr>
          <w:trHeight w:val="565"/>
        </w:trPr>
        <w:tc>
          <w:tcPr>
            <w:tcW w:w="669" w:type="dxa"/>
            <w:gridSpan w:val="2"/>
          </w:tcPr>
          <w:p w14:paraId="48DF36B5" w14:textId="34DC2211" w:rsidR="00DF24EC" w:rsidRPr="004B0954" w:rsidRDefault="00DF24EC" w:rsidP="00E90655">
            <w:pPr>
              <w:jc w:val="both"/>
              <w:rPr>
                <w:rFonts w:ascii="Times New Roman" w:hAnsi="Times New Roman" w:cs="Times New Roman"/>
              </w:rPr>
            </w:pPr>
          </w:p>
        </w:tc>
        <w:tc>
          <w:tcPr>
            <w:tcW w:w="5323" w:type="dxa"/>
            <w:gridSpan w:val="5"/>
          </w:tcPr>
          <w:p w14:paraId="36429F16" w14:textId="3F6A6BA9" w:rsidR="00DF24EC" w:rsidRPr="004B0954" w:rsidRDefault="00DF24EC" w:rsidP="00E90655">
            <w:pPr>
              <w:jc w:val="both"/>
              <w:rPr>
                <w:rFonts w:ascii="Times New Roman" w:hAnsi="Times New Roman" w:cs="Times New Roman"/>
              </w:rPr>
            </w:pPr>
          </w:p>
        </w:tc>
        <w:tc>
          <w:tcPr>
            <w:tcW w:w="1350" w:type="dxa"/>
            <w:gridSpan w:val="4"/>
          </w:tcPr>
          <w:p w14:paraId="34DDE6F6" w14:textId="70B0F993" w:rsidR="00DF24EC" w:rsidRPr="004B0954" w:rsidRDefault="00DF24EC" w:rsidP="00E90655">
            <w:pPr>
              <w:jc w:val="both"/>
              <w:rPr>
                <w:rFonts w:ascii="Times New Roman" w:hAnsi="Times New Roman" w:cs="Times New Roman"/>
              </w:rPr>
            </w:pPr>
          </w:p>
        </w:tc>
        <w:tc>
          <w:tcPr>
            <w:tcW w:w="1620" w:type="dxa"/>
            <w:gridSpan w:val="4"/>
          </w:tcPr>
          <w:p w14:paraId="3FF22849" w14:textId="50636BAC" w:rsidR="00DF24EC" w:rsidRPr="004B0954" w:rsidRDefault="00DF24EC" w:rsidP="00E90655">
            <w:pPr>
              <w:jc w:val="both"/>
              <w:rPr>
                <w:rFonts w:ascii="Times New Roman" w:hAnsi="Times New Roman" w:cs="Times New Roman"/>
              </w:rPr>
            </w:pPr>
          </w:p>
        </w:tc>
        <w:tc>
          <w:tcPr>
            <w:tcW w:w="1426" w:type="dxa"/>
            <w:gridSpan w:val="4"/>
          </w:tcPr>
          <w:p w14:paraId="480045D8" w14:textId="0B6E3628" w:rsidR="00DF24EC" w:rsidRPr="004B0954" w:rsidRDefault="00DF24EC" w:rsidP="00E90655">
            <w:pPr>
              <w:jc w:val="both"/>
              <w:rPr>
                <w:rFonts w:ascii="Times New Roman" w:hAnsi="Times New Roman" w:cs="Times New Roman"/>
                <w:noProof/>
              </w:rPr>
            </w:pPr>
          </w:p>
        </w:tc>
        <w:tc>
          <w:tcPr>
            <w:tcW w:w="1620" w:type="dxa"/>
          </w:tcPr>
          <w:p w14:paraId="0992658A" w14:textId="5ADD950D" w:rsidR="00DF24EC" w:rsidRPr="004B0954" w:rsidRDefault="00DF24EC" w:rsidP="00CD1C40">
            <w:pPr>
              <w:pStyle w:val="Default"/>
              <w:jc w:val="both"/>
              <w:rPr>
                <w:rFonts w:ascii="Times New Roman" w:hAnsi="Times New Roman" w:cs="Times New Roman"/>
                <w:color w:val="auto"/>
                <w:sz w:val="22"/>
                <w:szCs w:val="22"/>
              </w:rPr>
            </w:pPr>
          </w:p>
        </w:tc>
        <w:tc>
          <w:tcPr>
            <w:tcW w:w="1672" w:type="dxa"/>
          </w:tcPr>
          <w:p w14:paraId="504E112F" w14:textId="77777777" w:rsidR="00DF24EC" w:rsidRPr="004B0954" w:rsidRDefault="00DF24EC" w:rsidP="00E90655">
            <w:pPr>
              <w:jc w:val="both"/>
              <w:rPr>
                <w:rFonts w:ascii="Times New Roman" w:hAnsi="Times New Roman" w:cs="Times New Roman"/>
                <w:noProof/>
              </w:rPr>
            </w:pPr>
          </w:p>
        </w:tc>
      </w:tr>
      <w:tr w:rsidR="004B0954" w:rsidRPr="004B0954" w14:paraId="4442F302" w14:textId="77777777" w:rsidTr="00345721">
        <w:trPr>
          <w:trHeight w:val="565"/>
        </w:trPr>
        <w:tc>
          <w:tcPr>
            <w:tcW w:w="669" w:type="dxa"/>
            <w:gridSpan w:val="2"/>
          </w:tcPr>
          <w:p w14:paraId="36EB7F7F" w14:textId="2B41DB79" w:rsidR="00A559A6" w:rsidRPr="004B0954" w:rsidDel="00FC3EED" w:rsidRDefault="00A559A6" w:rsidP="00E90655">
            <w:pPr>
              <w:jc w:val="both"/>
              <w:rPr>
                <w:rFonts w:ascii="Times New Roman" w:hAnsi="Times New Roman" w:cs="Times New Roman"/>
              </w:rPr>
            </w:pPr>
            <w:r w:rsidRPr="004B0954">
              <w:rPr>
                <w:rFonts w:ascii="Times New Roman" w:hAnsi="Times New Roman" w:cs="Times New Roman"/>
              </w:rPr>
              <w:t>2.3</w:t>
            </w:r>
          </w:p>
        </w:tc>
        <w:tc>
          <w:tcPr>
            <w:tcW w:w="5323" w:type="dxa"/>
            <w:gridSpan w:val="5"/>
          </w:tcPr>
          <w:p w14:paraId="03870415" w14:textId="398A43A3" w:rsidR="00A559A6" w:rsidRPr="004B0954" w:rsidDel="00FC3EED" w:rsidRDefault="00BF5955" w:rsidP="00BF5955">
            <w:pPr>
              <w:jc w:val="both"/>
              <w:rPr>
                <w:rFonts w:ascii="Times New Roman" w:hAnsi="Times New Roman" w:cs="Times New Roman"/>
              </w:rPr>
            </w:pPr>
            <w:r w:rsidRPr="004B0954">
              <w:rPr>
                <w:rFonts w:ascii="Times New Roman" w:hAnsi="Times New Roman" w:cs="Times New Roman"/>
              </w:rPr>
              <w:t>Strengthen or re-o</w:t>
            </w:r>
            <w:r w:rsidR="00A559A6" w:rsidRPr="004B0954">
              <w:rPr>
                <w:rFonts w:ascii="Times New Roman" w:hAnsi="Times New Roman" w:cs="Times New Roman"/>
              </w:rPr>
              <w:t>rganize EELRP</w:t>
            </w:r>
            <w:r w:rsidR="008E45DA" w:rsidRPr="004B0954">
              <w:rPr>
                <w:rFonts w:ascii="Times New Roman" w:hAnsi="Times New Roman" w:cs="Times New Roman"/>
              </w:rPr>
              <w:t>-</w:t>
            </w:r>
            <w:r w:rsidR="00A559A6" w:rsidRPr="004B0954">
              <w:rPr>
                <w:rFonts w:ascii="Times New Roman" w:hAnsi="Times New Roman" w:cs="Times New Roman"/>
              </w:rPr>
              <w:t>induced GBV/SEA/SH oversee committee at three levels (at Federal, Regional and Woreda levels)</w:t>
            </w:r>
          </w:p>
        </w:tc>
        <w:tc>
          <w:tcPr>
            <w:tcW w:w="1350" w:type="dxa"/>
            <w:gridSpan w:val="4"/>
          </w:tcPr>
          <w:p w14:paraId="6DB43E0B" w14:textId="26526327" w:rsidR="00A559A6" w:rsidRPr="004B0954" w:rsidDel="00FC3EED" w:rsidRDefault="008E45DA" w:rsidP="00E90655">
            <w:pPr>
              <w:jc w:val="both"/>
              <w:rPr>
                <w:rFonts w:ascii="Times New Roman" w:hAnsi="Times New Roman" w:cs="Times New Roman"/>
              </w:rPr>
            </w:pPr>
            <w:r w:rsidRPr="004B0954">
              <w:rPr>
                <w:rFonts w:ascii="Times New Roman" w:hAnsi="Times New Roman" w:cs="Times New Roman"/>
              </w:rPr>
              <w:t>2022</w:t>
            </w:r>
          </w:p>
        </w:tc>
        <w:tc>
          <w:tcPr>
            <w:tcW w:w="1620" w:type="dxa"/>
            <w:gridSpan w:val="4"/>
          </w:tcPr>
          <w:p w14:paraId="36BD107A" w14:textId="496DA1CD" w:rsidR="00A559A6" w:rsidRPr="004B0954" w:rsidDel="00FC3EED" w:rsidRDefault="008E45DA" w:rsidP="00E90655">
            <w:pPr>
              <w:jc w:val="both"/>
              <w:rPr>
                <w:rFonts w:ascii="Times New Roman" w:hAnsi="Times New Roman" w:cs="Times New Roman"/>
              </w:rPr>
            </w:pPr>
            <w:r w:rsidRPr="004B0954">
              <w:rPr>
                <w:rFonts w:ascii="Times New Roman" w:hAnsi="Times New Roman" w:cs="Times New Roman"/>
              </w:rPr>
              <w:t>MOA/RBOA</w:t>
            </w:r>
          </w:p>
        </w:tc>
        <w:tc>
          <w:tcPr>
            <w:tcW w:w="1426" w:type="dxa"/>
            <w:gridSpan w:val="4"/>
          </w:tcPr>
          <w:p w14:paraId="0E2DE221" w14:textId="0033B5FC" w:rsidR="00A559A6" w:rsidRPr="004B0954" w:rsidDel="00FC3EED" w:rsidRDefault="008E45DA" w:rsidP="00E90655">
            <w:pPr>
              <w:jc w:val="both"/>
              <w:rPr>
                <w:rFonts w:ascii="Times New Roman" w:hAnsi="Times New Roman" w:cs="Times New Roman"/>
              </w:rPr>
            </w:pPr>
            <w:r w:rsidRPr="004B0954">
              <w:rPr>
                <w:rFonts w:ascii="Times New Roman" w:hAnsi="Times New Roman" w:cs="Times New Roman"/>
              </w:rPr>
              <w:t>AF</w:t>
            </w:r>
          </w:p>
        </w:tc>
        <w:tc>
          <w:tcPr>
            <w:tcW w:w="1620" w:type="dxa"/>
          </w:tcPr>
          <w:p w14:paraId="1148BC3F" w14:textId="383A18B3" w:rsidR="00A559A6" w:rsidRPr="004B0954" w:rsidDel="00FC3EED" w:rsidRDefault="008E45DA"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MOA</w:t>
            </w:r>
          </w:p>
        </w:tc>
        <w:tc>
          <w:tcPr>
            <w:tcW w:w="1672" w:type="dxa"/>
          </w:tcPr>
          <w:p w14:paraId="2E6A6F77" w14:textId="77777777" w:rsidR="00A559A6" w:rsidRPr="004B0954" w:rsidRDefault="00A559A6" w:rsidP="00E90655">
            <w:pPr>
              <w:jc w:val="both"/>
              <w:rPr>
                <w:rFonts w:ascii="Times New Roman" w:hAnsi="Times New Roman" w:cs="Times New Roman"/>
                <w:noProof/>
              </w:rPr>
            </w:pPr>
          </w:p>
        </w:tc>
      </w:tr>
      <w:tr w:rsidR="004B0954" w:rsidRPr="004B0954" w14:paraId="4E2784CB" w14:textId="77777777" w:rsidTr="00345721">
        <w:trPr>
          <w:trHeight w:val="125"/>
        </w:trPr>
        <w:tc>
          <w:tcPr>
            <w:tcW w:w="13680" w:type="dxa"/>
            <w:gridSpan w:val="21"/>
          </w:tcPr>
          <w:p w14:paraId="46087970" w14:textId="77777777" w:rsidR="00DF24EC" w:rsidRPr="004B0954" w:rsidRDefault="00DF24EC" w:rsidP="00672B77">
            <w:pPr>
              <w:spacing w:after="0"/>
              <w:jc w:val="both"/>
              <w:rPr>
                <w:rFonts w:ascii="Times New Roman" w:hAnsi="Times New Roman" w:cs="Times New Roman"/>
                <w:b/>
                <w:i/>
                <w:noProof/>
              </w:rPr>
            </w:pPr>
            <w:r w:rsidRPr="004B0954">
              <w:rPr>
                <w:rFonts w:ascii="Times New Roman" w:hAnsi="Times New Roman" w:cs="Times New Roman"/>
                <w:b/>
                <w:i/>
                <w:noProof/>
              </w:rPr>
              <w:t>3. Stakeholder consultations to inform those affected by the project of GBV risks</w:t>
            </w:r>
          </w:p>
        </w:tc>
      </w:tr>
      <w:tr w:rsidR="004B0954" w:rsidRPr="004B0954" w14:paraId="1C9F508E" w14:textId="77777777" w:rsidTr="00345721">
        <w:trPr>
          <w:trHeight w:val="1565"/>
        </w:trPr>
        <w:tc>
          <w:tcPr>
            <w:tcW w:w="669" w:type="dxa"/>
            <w:gridSpan w:val="2"/>
          </w:tcPr>
          <w:p w14:paraId="10EB68C3" w14:textId="01ABEB05" w:rsidR="00FC3EED" w:rsidRPr="004B0954" w:rsidRDefault="00FC3EED" w:rsidP="00E90655">
            <w:pPr>
              <w:jc w:val="both"/>
              <w:rPr>
                <w:rFonts w:ascii="Times New Roman" w:hAnsi="Times New Roman" w:cs="Times New Roman"/>
              </w:rPr>
            </w:pPr>
          </w:p>
          <w:p w14:paraId="5D1E480B" w14:textId="321EC8D9" w:rsidR="00DF24EC" w:rsidRPr="004B0954" w:rsidRDefault="00FC3EED" w:rsidP="00E90655">
            <w:pPr>
              <w:jc w:val="both"/>
              <w:rPr>
                <w:rFonts w:ascii="Times New Roman" w:hAnsi="Times New Roman" w:cs="Times New Roman"/>
              </w:rPr>
            </w:pPr>
            <w:r w:rsidRPr="004B0954">
              <w:rPr>
                <w:rFonts w:ascii="Times New Roman" w:hAnsi="Times New Roman" w:cs="Times New Roman"/>
              </w:rPr>
              <w:t>3.1</w:t>
            </w:r>
          </w:p>
        </w:tc>
        <w:tc>
          <w:tcPr>
            <w:tcW w:w="5309" w:type="dxa"/>
            <w:gridSpan w:val="4"/>
          </w:tcPr>
          <w:p w14:paraId="6DBEC834" w14:textId="3B63C362" w:rsidR="00DF24EC" w:rsidRPr="004B0954" w:rsidRDefault="00FC3EED" w:rsidP="00FC3EED">
            <w:pPr>
              <w:jc w:val="both"/>
              <w:rPr>
                <w:rFonts w:ascii="Times New Roman" w:hAnsi="Times New Roman" w:cs="Times New Roman"/>
              </w:rPr>
            </w:pPr>
            <w:r w:rsidRPr="004B0954">
              <w:rPr>
                <w:rFonts w:ascii="Times New Roman" w:hAnsi="Times New Roman" w:cs="Times New Roman"/>
              </w:rPr>
              <w:t xml:space="preserve">High level annual technical consultations </w:t>
            </w:r>
            <w:r w:rsidR="00BF5955" w:rsidRPr="004B0954">
              <w:rPr>
                <w:rFonts w:ascii="Times New Roman" w:hAnsi="Times New Roman" w:cs="Times New Roman"/>
              </w:rPr>
              <w:t xml:space="preserve">among stakeholders </w:t>
            </w:r>
            <w:r w:rsidRPr="004B0954">
              <w:rPr>
                <w:rFonts w:ascii="Times New Roman" w:hAnsi="Times New Roman" w:cs="Times New Roman"/>
              </w:rPr>
              <w:t>at the federal MOA and its key stakeholder</w:t>
            </w:r>
            <w:r w:rsidR="00BF5955" w:rsidRPr="004B0954">
              <w:rPr>
                <w:rFonts w:ascii="Times New Roman" w:hAnsi="Times New Roman" w:cs="Times New Roman"/>
              </w:rPr>
              <w:t>s</w:t>
            </w:r>
            <w:r w:rsidRPr="004B0954">
              <w:rPr>
                <w:rFonts w:ascii="Times New Roman" w:hAnsi="Times New Roman" w:cs="Times New Roman"/>
              </w:rPr>
              <w:t xml:space="preserve"> </w:t>
            </w:r>
          </w:p>
        </w:tc>
        <w:tc>
          <w:tcPr>
            <w:tcW w:w="1350" w:type="dxa"/>
            <w:gridSpan w:val="4"/>
          </w:tcPr>
          <w:p w14:paraId="06569547" w14:textId="7D4B52A7" w:rsidR="00A559A6" w:rsidRPr="004B0954" w:rsidRDefault="00A559A6" w:rsidP="00A559A6">
            <w:pPr>
              <w:jc w:val="both"/>
              <w:rPr>
                <w:rFonts w:ascii="Times New Roman" w:hAnsi="Times New Roman" w:cs="Times New Roman"/>
              </w:rPr>
            </w:pPr>
          </w:p>
          <w:p w14:paraId="4B13568B" w14:textId="42A96AAB" w:rsidR="00DF24EC" w:rsidRPr="004B0954" w:rsidRDefault="00FC3EED" w:rsidP="00A559A6">
            <w:pPr>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3FEC02D0"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 xml:space="preserve">Ministry of Agriculture </w:t>
            </w:r>
          </w:p>
        </w:tc>
        <w:tc>
          <w:tcPr>
            <w:tcW w:w="1440" w:type="dxa"/>
            <w:gridSpan w:val="5"/>
          </w:tcPr>
          <w:p w14:paraId="5C34CA1D" w14:textId="4DAECF85" w:rsidR="00DF24EC" w:rsidRPr="004B0954" w:rsidRDefault="00FC3EED" w:rsidP="00E90655">
            <w:pPr>
              <w:jc w:val="both"/>
              <w:rPr>
                <w:rFonts w:ascii="Times New Roman" w:hAnsi="Times New Roman" w:cs="Times New Roman"/>
                <w:noProof/>
              </w:rPr>
            </w:pPr>
            <w:r w:rsidRPr="004B0954">
              <w:rPr>
                <w:rFonts w:ascii="Times New Roman" w:hAnsi="Times New Roman" w:cs="Times New Roman"/>
                <w:noProof/>
              </w:rPr>
              <w:t xml:space="preserve"> AF</w:t>
            </w:r>
          </w:p>
        </w:tc>
        <w:tc>
          <w:tcPr>
            <w:tcW w:w="1620" w:type="dxa"/>
          </w:tcPr>
          <w:p w14:paraId="16BC061D" w14:textId="79422DBD" w:rsidR="00DF24EC" w:rsidRPr="004B0954" w:rsidRDefault="00A559A6" w:rsidP="00672B77">
            <w:pPr>
              <w:spacing w:after="0"/>
              <w:jc w:val="both"/>
              <w:rPr>
                <w:rFonts w:ascii="Times New Roman" w:hAnsi="Times New Roman" w:cs="Times New Roman"/>
              </w:rPr>
            </w:pPr>
            <w:r w:rsidRPr="004B0954">
              <w:rPr>
                <w:rFonts w:ascii="Times New Roman" w:hAnsi="Times New Roman" w:cs="Times New Roman"/>
              </w:rPr>
              <w:t>MOA</w:t>
            </w:r>
          </w:p>
        </w:tc>
        <w:tc>
          <w:tcPr>
            <w:tcW w:w="1672" w:type="dxa"/>
          </w:tcPr>
          <w:p w14:paraId="46433D9B" w14:textId="77777777" w:rsidR="00DF24EC" w:rsidRPr="004B0954" w:rsidRDefault="00DF24EC" w:rsidP="00E90655">
            <w:pPr>
              <w:jc w:val="both"/>
              <w:rPr>
                <w:rFonts w:ascii="Times New Roman" w:hAnsi="Times New Roman" w:cs="Times New Roman"/>
                <w:noProof/>
              </w:rPr>
            </w:pPr>
            <w:r w:rsidRPr="004B0954">
              <w:rPr>
                <w:rFonts w:ascii="Times New Roman" w:hAnsi="Times New Roman" w:cs="Times New Roman"/>
                <w:noProof/>
              </w:rPr>
              <w:t>To be planned and plan submitted by MOA as part of the GBV Action plan</w:t>
            </w:r>
          </w:p>
        </w:tc>
      </w:tr>
      <w:tr w:rsidR="004B0954" w:rsidRPr="004B0954" w14:paraId="0E5EDB43" w14:textId="77777777" w:rsidTr="00345721">
        <w:trPr>
          <w:trHeight w:val="565"/>
        </w:trPr>
        <w:tc>
          <w:tcPr>
            <w:tcW w:w="669" w:type="dxa"/>
            <w:gridSpan w:val="2"/>
          </w:tcPr>
          <w:p w14:paraId="7C0F169D" w14:textId="7AE1A1BE" w:rsidR="00CC6CF5" w:rsidRPr="004B0954" w:rsidRDefault="00CC6CF5" w:rsidP="00E90655">
            <w:pPr>
              <w:jc w:val="both"/>
              <w:rPr>
                <w:rFonts w:ascii="Times New Roman" w:hAnsi="Times New Roman" w:cs="Times New Roman"/>
              </w:rPr>
            </w:pPr>
          </w:p>
          <w:p w14:paraId="26E22AFC" w14:textId="69E37041" w:rsidR="00DF24EC" w:rsidRPr="004B0954" w:rsidRDefault="00CC6CF5" w:rsidP="00E90655">
            <w:pPr>
              <w:jc w:val="both"/>
              <w:rPr>
                <w:rFonts w:ascii="Times New Roman" w:hAnsi="Times New Roman" w:cs="Times New Roman"/>
              </w:rPr>
            </w:pPr>
            <w:r w:rsidRPr="004B0954">
              <w:rPr>
                <w:rFonts w:ascii="Times New Roman" w:hAnsi="Times New Roman" w:cs="Times New Roman"/>
              </w:rPr>
              <w:t>3.2</w:t>
            </w:r>
          </w:p>
        </w:tc>
        <w:tc>
          <w:tcPr>
            <w:tcW w:w="5309" w:type="dxa"/>
            <w:gridSpan w:val="4"/>
          </w:tcPr>
          <w:p w14:paraId="4D97BF64" w14:textId="33F54402" w:rsidR="00DF24EC" w:rsidRPr="004B0954" w:rsidRDefault="00CC6CF5" w:rsidP="00CC6CF5">
            <w:pPr>
              <w:jc w:val="both"/>
              <w:rPr>
                <w:rFonts w:ascii="Times New Roman" w:hAnsi="Times New Roman" w:cs="Times New Roman"/>
              </w:rPr>
            </w:pPr>
            <w:r w:rsidRPr="004B0954">
              <w:rPr>
                <w:rFonts w:ascii="Times New Roman" w:hAnsi="Times New Roman" w:cs="Times New Roman"/>
              </w:rPr>
              <w:t>Organize regional</w:t>
            </w:r>
            <w:r w:rsidR="00DF24EC" w:rsidRPr="004B0954">
              <w:rPr>
                <w:rFonts w:ascii="Times New Roman" w:hAnsi="Times New Roman" w:cs="Times New Roman"/>
              </w:rPr>
              <w:t xml:space="preserve"> </w:t>
            </w:r>
            <w:r w:rsidRPr="004B0954">
              <w:rPr>
                <w:rFonts w:ascii="Times New Roman" w:hAnsi="Times New Roman" w:cs="Times New Roman"/>
              </w:rPr>
              <w:t xml:space="preserve">level </w:t>
            </w:r>
            <w:r w:rsidR="00DF24EC" w:rsidRPr="004B0954">
              <w:rPr>
                <w:rFonts w:ascii="Times New Roman" w:hAnsi="Times New Roman" w:cs="Times New Roman"/>
              </w:rPr>
              <w:t>stakeholders</w:t>
            </w:r>
            <w:r w:rsidRPr="004B0954">
              <w:rPr>
                <w:rFonts w:ascii="Times New Roman" w:hAnsi="Times New Roman" w:cs="Times New Roman"/>
              </w:rPr>
              <w:t xml:space="preserve"> consultations at every EELRP region  </w:t>
            </w:r>
            <w:r w:rsidR="00DF24EC" w:rsidRPr="004B0954">
              <w:rPr>
                <w:rFonts w:ascii="Times New Roman" w:hAnsi="Times New Roman" w:cs="Times New Roman"/>
              </w:rPr>
              <w:t>(political, cultural or religious leaders, health teams, local councils, social workers, women’s organizations and groups working with children</w:t>
            </w:r>
            <w:r w:rsidR="00A21E16" w:rsidRPr="004B0954">
              <w:rPr>
                <w:rFonts w:ascii="Times New Roman" w:hAnsi="Times New Roman" w:cs="Times New Roman"/>
              </w:rPr>
              <w:t>, girls, and women</w:t>
            </w:r>
            <w:r w:rsidR="00DF24EC" w:rsidRPr="004B0954">
              <w:rPr>
                <w:rFonts w:ascii="Times New Roman" w:hAnsi="Times New Roman" w:cs="Times New Roman"/>
              </w:rPr>
              <w:t xml:space="preserve">) </w:t>
            </w:r>
          </w:p>
        </w:tc>
        <w:tc>
          <w:tcPr>
            <w:tcW w:w="1350" w:type="dxa"/>
            <w:gridSpan w:val="4"/>
          </w:tcPr>
          <w:p w14:paraId="174D3F68" w14:textId="77777777" w:rsidR="00105F30" w:rsidRPr="004B0954" w:rsidRDefault="00105F30" w:rsidP="00E4236E">
            <w:pPr>
              <w:jc w:val="both"/>
              <w:rPr>
                <w:rFonts w:ascii="Times New Roman" w:hAnsi="Times New Roman" w:cs="Times New Roman"/>
              </w:rPr>
            </w:pPr>
          </w:p>
          <w:p w14:paraId="5C4BB2A9" w14:textId="50A7CF3A" w:rsidR="00480D5A" w:rsidRPr="004B0954" w:rsidRDefault="00480D5A" w:rsidP="00E4236E">
            <w:pPr>
              <w:jc w:val="both"/>
              <w:rPr>
                <w:rFonts w:ascii="Times New Roman" w:hAnsi="Times New Roman" w:cs="Times New Roman"/>
              </w:rPr>
            </w:pPr>
          </w:p>
          <w:p w14:paraId="519641DC" w14:textId="50C5D36A" w:rsidR="00DF24EC" w:rsidRPr="004B0954" w:rsidRDefault="00105F30" w:rsidP="00480D5A">
            <w:pPr>
              <w:jc w:val="both"/>
              <w:rPr>
                <w:rFonts w:ascii="Times New Roman" w:hAnsi="Times New Roman" w:cs="Times New Roman"/>
              </w:rPr>
            </w:pPr>
            <w:r w:rsidRPr="004B0954">
              <w:rPr>
                <w:rFonts w:ascii="Times New Roman" w:hAnsi="Times New Roman" w:cs="Times New Roman"/>
              </w:rPr>
              <w:t>2022-2026</w:t>
            </w:r>
            <w:r w:rsidR="00E4236E" w:rsidRPr="004B0954">
              <w:rPr>
                <w:rFonts w:ascii="Times New Roman" w:hAnsi="Times New Roman" w:cs="Times New Roman"/>
              </w:rPr>
              <w:t xml:space="preserve"> </w:t>
            </w:r>
          </w:p>
        </w:tc>
        <w:tc>
          <w:tcPr>
            <w:tcW w:w="1620" w:type="dxa"/>
            <w:gridSpan w:val="4"/>
          </w:tcPr>
          <w:p w14:paraId="098635C7" w14:textId="77777777" w:rsidR="00105F30" w:rsidRPr="004B0954" w:rsidRDefault="00105F30" w:rsidP="00E90655">
            <w:pPr>
              <w:jc w:val="both"/>
              <w:rPr>
                <w:rFonts w:ascii="Times New Roman" w:hAnsi="Times New Roman" w:cs="Times New Roman"/>
              </w:rPr>
            </w:pPr>
          </w:p>
          <w:p w14:paraId="0C69694B"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MOA</w:t>
            </w:r>
          </w:p>
        </w:tc>
        <w:tc>
          <w:tcPr>
            <w:tcW w:w="1440" w:type="dxa"/>
            <w:gridSpan w:val="5"/>
          </w:tcPr>
          <w:p w14:paraId="7CC9C138" w14:textId="77777777" w:rsidR="00105F30" w:rsidRPr="004B0954" w:rsidRDefault="00105F30" w:rsidP="00E90655">
            <w:pPr>
              <w:jc w:val="both"/>
              <w:rPr>
                <w:rFonts w:ascii="Times New Roman" w:hAnsi="Times New Roman" w:cs="Times New Roman"/>
                <w:noProof/>
              </w:rPr>
            </w:pPr>
          </w:p>
          <w:p w14:paraId="42F929F4" w14:textId="1D136470" w:rsidR="00DF24EC" w:rsidRPr="004B0954" w:rsidRDefault="00A559A6" w:rsidP="00E90655">
            <w:pPr>
              <w:jc w:val="both"/>
              <w:rPr>
                <w:rFonts w:ascii="Times New Roman" w:hAnsi="Times New Roman" w:cs="Times New Roman"/>
                <w:noProof/>
              </w:rPr>
            </w:pPr>
            <w:r w:rsidRPr="004B0954">
              <w:rPr>
                <w:rFonts w:ascii="Times New Roman" w:hAnsi="Times New Roman" w:cs="Times New Roman"/>
                <w:noProof/>
              </w:rPr>
              <w:t xml:space="preserve"> </w:t>
            </w:r>
            <w:r w:rsidR="00480D5A" w:rsidRPr="004B0954">
              <w:rPr>
                <w:rFonts w:ascii="Times New Roman" w:hAnsi="Times New Roman" w:cs="Times New Roman"/>
                <w:noProof/>
              </w:rPr>
              <w:t>AF</w:t>
            </w:r>
          </w:p>
        </w:tc>
        <w:tc>
          <w:tcPr>
            <w:tcW w:w="1620" w:type="dxa"/>
          </w:tcPr>
          <w:p w14:paraId="63068ECE" w14:textId="77777777" w:rsidR="00105F30" w:rsidRPr="004B0954" w:rsidRDefault="00105F30" w:rsidP="00E90655">
            <w:pPr>
              <w:pStyle w:val="Default"/>
              <w:jc w:val="both"/>
              <w:rPr>
                <w:rFonts w:ascii="Times New Roman" w:hAnsi="Times New Roman" w:cs="Times New Roman"/>
                <w:color w:val="auto"/>
                <w:sz w:val="22"/>
                <w:szCs w:val="22"/>
              </w:rPr>
            </w:pPr>
          </w:p>
          <w:p w14:paraId="05B7D672" w14:textId="77777777" w:rsidR="00105F30" w:rsidRPr="004B0954" w:rsidRDefault="00105F30" w:rsidP="00E90655">
            <w:pPr>
              <w:pStyle w:val="Default"/>
              <w:jc w:val="both"/>
              <w:rPr>
                <w:rFonts w:ascii="Times New Roman" w:hAnsi="Times New Roman" w:cs="Times New Roman"/>
                <w:color w:val="auto"/>
                <w:sz w:val="22"/>
                <w:szCs w:val="22"/>
              </w:rPr>
            </w:pPr>
          </w:p>
          <w:p w14:paraId="6EB27F4E" w14:textId="191E8BD3" w:rsidR="00DF24EC" w:rsidRPr="004B0954" w:rsidRDefault="00A559A6" w:rsidP="00CD1C40">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MOA</w:t>
            </w:r>
          </w:p>
        </w:tc>
        <w:tc>
          <w:tcPr>
            <w:tcW w:w="1672" w:type="dxa"/>
          </w:tcPr>
          <w:p w14:paraId="50CAC7C6" w14:textId="77777777" w:rsidR="00DF24EC" w:rsidRPr="004B0954" w:rsidRDefault="00DF24EC" w:rsidP="00E90655">
            <w:pPr>
              <w:jc w:val="both"/>
              <w:rPr>
                <w:rFonts w:ascii="Times New Roman" w:hAnsi="Times New Roman" w:cs="Times New Roman"/>
                <w:noProof/>
              </w:rPr>
            </w:pPr>
          </w:p>
        </w:tc>
      </w:tr>
      <w:tr w:rsidR="004B0954" w:rsidRPr="004B0954" w14:paraId="7BF25E60" w14:textId="77777777" w:rsidTr="00D67D65">
        <w:trPr>
          <w:trHeight w:val="565"/>
        </w:trPr>
        <w:tc>
          <w:tcPr>
            <w:tcW w:w="669" w:type="dxa"/>
            <w:gridSpan w:val="2"/>
          </w:tcPr>
          <w:p w14:paraId="1FC6C73E" w14:textId="1AC99C3F" w:rsidR="002B06B9" w:rsidRPr="004B0954" w:rsidRDefault="006E128E" w:rsidP="00E90655">
            <w:pPr>
              <w:jc w:val="both"/>
              <w:rPr>
                <w:rFonts w:ascii="Times New Roman" w:hAnsi="Times New Roman" w:cs="Times New Roman"/>
              </w:rPr>
            </w:pPr>
            <w:r w:rsidRPr="004B0954">
              <w:rPr>
                <w:rFonts w:ascii="Times New Roman" w:hAnsi="Times New Roman" w:cs="Times New Roman"/>
              </w:rPr>
              <w:t>d</w:t>
            </w:r>
          </w:p>
        </w:tc>
        <w:tc>
          <w:tcPr>
            <w:tcW w:w="5309" w:type="dxa"/>
            <w:gridSpan w:val="4"/>
          </w:tcPr>
          <w:p w14:paraId="27D662C7" w14:textId="20478ABE" w:rsidR="002B06B9" w:rsidRPr="004B0954" w:rsidRDefault="005D1FA0" w:rsidP="00EB467A">
            <w:pPr>
              <w:jc w:val="both"/>
              <w:rPr>
                <w:rFonts w:ascii="Times New Roman" w:eastAsia="Calibri" w:hAnsi="Times New Roman" w:cs="Times New Roman"/>
                <w:lang w:val="en-GB"/>
              </w:rPr>
            </w:pPr>
            <w:r w:rsidRPr="004B0954">
              <w:rPr>
                <w:rFonts w:ascii="Times New Roman" w:eastAsia="Calibri" w:hAnsi="Times New Roman" w:cs="Times New Roman"/>
                <w:lang w:val="en-GB"/>
              </w:rPr>
              <w:t>Conduct a</w:t>
            </w:r>
            <w:r w:rsidR="002B06B9" w:rsidRPr="004B0954">
              <w:rPr>
                <w:rFonts w:ascii="Times New Roman" w:eastAsia="Calibri" w:hAnsi="Times New Roman" w:cs="Times New Roman"/>
                <w:lang w:val="en-GB"/>
              </w:rPr>
              <w:t>wareness</w:t>
            </w:r>
            <w:r w:rsidRPr="004B0954">
              <w:rPr>
                <w:rFonts w:ascii="Times New Roman" w:eastAsia="Calibri" w:hAnsi="Times New Roman" w:cs="Times New Roman"/>
                <w:lang w:val="en-GB"/>
              </w:rPr>
              <w:t>/disseminate key SEA/SH messages</w:t>
            </w:r>
            <w:r w:rsidR="002B06B9" w:rsidRPr="004B0954">
              <w:rPr>
                <w:rFonts w:ascii="Times New Roman" w:eastAsia="Calibri" w:hAnsi="Times New Roman" w:cs="Times New Roman"/>
                <w:lang w:val="en-GB"/>
              </w:rPr>
              <w:t xml:space="preserve"> targeting school communities (adolescent girls)</w:t>
            </w:r>
            <w:r w:rsidR="008E45DA" w:rsidRPr="004B0954">
              <w:rPr>
                <w:rFonts w:ascii="Times New Roman" w:eastAsia="Calibri" w:hAnsi="Times New Roman" w:cs="Times New Roman"/>
                <w:lang w:val="en-GB"/>
              </w:rPr>
              <w:t xml:space="preserve"> at project target regions</w:t>
            </w:r>
          </w:p>
        </w:tc>
        <w:tc>
          <w:tcPr>
            <w:tcW w:w="1350" w:type="dxa"/>
            <w:gridSpan w:val="4"/>
          </w:tcPr>
          <w:p w14:paraId="66982A2F" w14:textId="47866DF9" w:rsidR="002B06B9" w:rsidRPr="004B0954" w:rsidRDefault="008E45DA" w:rsidP="00BE573E">
            <w:pPr>
              <w:jc w:val="both"/>
              <w:rPr>
                <w:rFonts w:ascii="Times New Roman" w:hAnsi="Times New Roman" w:cs="Times New Roman"/>
              </w:rPr>
            </w:pPr>
            <w:r w:rsidRPr="004B0954">
              <w:rPr>
                <w:rFonts w:ascii="Times New Roman" w:hAnsi="Times New Roman" w:cs="Times New Roman"/>
              </w:rPr>
              <w:t>2022-202</w:t>
            </w:r>
            <w:r w:rsidR="00BE573E" w:rsidRPr="004B0954">
              <w:rPr>
                <w:rFonts w:ascii="Times New Roman" w:hAnsi="Times New Roman" w:cs="Times New Roman"/>
              </w:rPr>
              <w:t>6</w:t>
            </w:r>
          </w:p>
        </w:tc>
        <w:tc>
          <w:tcPr>
            <w:tcW w:w="1620" w:type="dxa"/>
            <w:gridSpan w:val="4"/>
          </w:tcPr>
          <w:p w14:paraId="76972842" w14:textId="77777777" w:rsidR="002B06B9" w:rsidRPr="004B0954" w:rsidRDefault="002B06B9" w:rsidP="00E90655">
            <w:pPr>
              <w:jc w:val="both"/>
              <w:rPr>
                <w:rFonts w:ascii="Times New Roman" w:hAnsi="Times New Roman" w:cs="Times New Roman"/>
              </w:rPr>
            </w:pPr>
            <w:r w:rsidRPr="004B0954">
              <w:rPr>
                <w:rFonts w:ascii="Times New Roman" w:hAnsi="Times New Roman" w:cs="Times New Roman"/>
              </w:rPr>
              <w:t>MoA</w:t>
            </w:r>
          </w:p>
        </w:tc>
        <w:tc>
          <w:tcPr>
            <w:tcW w:w="1440" w:type="dxa"/>
            <w:gridSpan w:val="5"/>
          </w:tcPr>
          <w:p w14:paraId="1FF06E5B" w14:textId="0B35B464" w:rsidR="002B06B9" w:rsidRPr="004B0954" w:rsidRDefault="008E45DA" w:rsidP="00E90655">
            <w:pPr>
              <w:jc w:val="both"/>
              <w:rPr>
                <w:rFonts w:ascii="Times New Roman" w:hAnsi="Times New Roman" w:cs="Times New Roman"/>
                <w:noProof/>
              </w:rPr>
            </w:pPr>
            <w:r w:rsidRPr="004B0954">
              <w:rPr>
                <w:rFonts w:ascii="Times New Roman" w:hAnsi="Times New Roman" w:cs="Times New Roman"/>
                <w:noProof/>
              </w:rPr>
              <w:t>AF</w:t>
            </w:r>
            <w:r w:rsidR="002B06B9" w:rsidRPr="004B0954">
              <w:rPr>
                <w:rFonts w:ascii="Times New Roman" w:hAnsi="Times New Roman" w:cs="Times New Roman"/>
                <w:noProof/>
              </w:rPr>
              <w:t xml:space="preserve"> </w:t>
            </w:r>
          </w:p>
        </w:tc>
        <w:tc>
          <w:tcPr>
            <w:tcW w:w="1620" w:type="dxa"/>
          </w:tcPr>
          <w:p w14:paraId="65C64EA1" w14:textId="26560605" w:rsidR="002B06B9" w:rsidRPr="004B0954" w:rsidRDefault="008E45DA" w:rsidP="00E90655">
            <w:pPr>
              <w:jc w:val="both"/>
              <w:rPr>
                <w:rFonts w:ascii="Times New Roman" w:hAnsi="Times New Roman" w:cs="Times New Roman"/>
              </w:rPr>
            </w:pPr>
            <w:r w:rsidRPr="004B0954">
              <w:rPr>
                <w:rFonts w:ascii="Times New Roman" w:hAnsi="Times New Roman" w:cs="Times New Roman"/>
              </w:rPr>
              <w:t>Woreda agriculture office</w:t>
            </w:r>
            <w:r w:rsidR="006816DC" w:rsidRPr="004B0954">
              <w:rPr>
                <w:rFonts w:ascii="Times New Roman" w:hAnsi="Times New Roman" w:cs="Times New Roman"/>
              </w:rPr>
              <w:t xml:space="preserve"> </w:t>
            </w:r>
          </w:p>
        </w:tc>
        <w:tc>
          <w:tcPr>
            <w:tcW w:w="1672" w:type="dxa"/>
          </w:tcPr>
          <w:p w14:paraId="03C371D3" w14:textId="7144E950" w:rsidR="002B06B9" w:rsidRPr="004B0954" w:rsidRDefault="00BE573E" w:rsidP="00BE573E">
            <w:pPr>
              <w:spacing w:after="0"/>
              <w:jc w:val="both"/>
              <w:rPr>
                <w:rFonts w:ascii="Times New Roman" w:hAnsi="Times New Roman" w:cs="Times New Roman"/>
                <w:noProof/>
              </w:rPr>
            </w:pPr>
            <w:r w:rsidRPr="004B0954">
              <w:rPr>
                <w:rFonts w:ascii="Times New Roman" w:hAnsi="Times New Roman" w:cs="Times New Roman"/>
                <w:noProof/>
              </w:rPr>
              <w:t xml:space="preserve">The </w:t>
            </w:r>
            <w:r w:rsidR="00810B9F" w:rsidRPr="004B0954">
              <w:rPr>
                <w:rFonts w:ascii="Times New Roman" w:hAnsi="Times New Roman" w:cs="Times New Roman"/>
                <w:noProof/>
              </w:rPr>
              <w:t>roject i</w:t>
            </w:r>
            <w:r w:rsidR="002B06B9" w:rsidRPr="004B0954">
              <w:rPr>
                <w:rFonts w:ascii="Times New Roman" w:hAnsi="Times New Roman" w:cs="Times New Roman"/>
                <w:noProof/>
              </w:rPr>
              <w:t>s</w:t>
            </w:r>
            <w:r w:rsidR="00810B9F" w:rsidRPr="004B0954">
              <w:rPr>
                <w:rFonts w:ascii="Times New Roman" w:hAnsi="Times New Roman" w:cs="Times New Roman"/>
                <w:noProof/>
              </w:rPr>
              <w:t xml:space="preserve"> </w:t>
            </w:r>
            <w:r w:rsidR="002B06B9" w:rsidRPr="004B0954">
              <w:rPr>
                <w:rFonts w:ascii="Times New Roman" w:hAnsi="Times New Roman" w:cs="Times New Roman"/>
                <w:noProof/>
              </w:rPr>
              <w:t>implmented near schools</w:t>
            </w:r>
            <w:r w:rsidRPr="004B0954">
              <w:rPr>
                <w:rFonts w:ascii="Times New Roman" w:hAnsi="Times New Roman" w:cs="Times New Roman"/>
                <w:noProof/>
              </w:rPr>
              <w:t xml:space="preserve"> and hence, awareness at schools is justifiable</w:t>
            </w:r>
          </w:p>
        </w:tc>
      </w:tr>
      <w:tr w:rsidR="004B0954" w:rsidRPr="004B0954" w14:paraId="673B77E0" w14:textId="77777777" w:rsidTr="004B0954">
        <w:trPr>
          <w:trHeight w:val="242"/>
        </w:trPr>
        <w:tc>
          <w:tcPr>
            <w:tcW w:w="13680" w:type="dxa"/>
            <w:gridSpan w:val="21"/>
          </w:tcPr>
          <w:p w14:paraId="1C1B87F5" w14:textId="77777777" w:rsidR="00DF24EC" w:rsidRPr="004B0954" w:rsidRDefault="00DF24EC" w:rsidP="00672B77">
            <w:pPr>
              <w:spacing w:after="0"/>
              <w:jc w:val="both"/>
              <w:rPr>
                <w:rFonts w:ascii="Times New Roman" w:hAnsi="Times New Roman" w:cs="Times New Roman"/>
                <w:b/>
                <w:i/>
                <w:noProof/>
              </w:rPr>
            </w:pPr>
            <w:r w:rsidRPr="004B0954">
              <w:rPr>
                <w:rFonts w:ascii="Times New Roman" w:hAnsi="Times New Roman" w:cs="Times New Roman"/>
                <w:b/>
                <w:i/>
                <w:noProof/>
              </w:rPr>
              <w:t xml:space="preserve">4. Map out GBV prevention and response service providers </w:t>
            </w:r>
          </w:p>
        </w:tc>
      </w:tr>
      <w:tr w:rsidR="004B0954" w:rsidRPr="004B0954" w14:paraId="077F24BB" w14:textId="77777777" w:rsidTr="004B0954">
        <w:trPr>
          <w:trHeight w:val="565"/>
        </w:trPr>
        <w:tc>
          <w:tcPr>
            <w:tcW w:w="669" w:type="dxa"/>
            <w:gridSpan w:val="2"/>
          </w:tcPr>
          <w:p w14:paraId="101C47EA" w14:textId="7BB78FFB" w:rsidR="00BE573E" w:rsidRPr="004B0954" w:rsidRDefault="00BE573E" w:rsidP="00486306">
            <w:pPr>
              <w:spacing w:after="0"/>
              <w:jc w:val="both"/>
              <w:rPr>
                <w:rFonts w:ascii="Times New Roman" w:hAnsi="Times New Roman" w:cs="Times New Roman"/>
              </w:rPr>
            </w:pPr>
          </w:p>
          <w:p w14:paraId="6F72BD37" w14:textId="27FF84B2" w:rsidR="00DF24EC" w:rsidRPr="004B0954" w:rsidRDefault="00BE573E" w:rsidP="00486306">
            <w:pPr>
              <w:spacing w:after="0"/>
              <w:jc w:val="both"/>
              <w:rPr>
                <w:rFonts w:ascii="Times New Roman" w:hAnsi="Times New Roman" w:cs="Times New Roman"/>
              </w:rPr>
            </w:pPr>
            <w:r w:rsidRPr="004B0954">
              <w:rPr>
                <w:rFonts w:ascii="Times New Roman" w:hAnsi="Times New Roman" w:cs="Times New Roman"/>
              </w:rPr>
              <w:t>4.1</w:t>
            </w:r>
          </w:p>
        </w:tc>
        <w:tc>
          <w:tcPr>
            <w:tcW w:w="5309" w:type="dxa"/>
            <w:gridSpan w:val="4"/>
          </w:tcPr>
          <w:p w14:paraId="1FD1D5F4" w14:textId="715B1586" w:rsidR="00DF24EC" w:rsidRPr="004B0954" w:rsidRDefault="00DF24EC" w:rsidP="00486306">
            <w:pPr>
              <w:pStyle w:val="Default"/>
              <w:jc w:val="both"/>
              <w:rPr>
                <w:rFonts w:ascii="Times New Roman" w:hAnsi="Times New Roman" w:cs="Times New Roman"/>
                <w:color w:val="auto"/>
                <w:sz w:val="22"/>
                <w:szCs w:val="22"/>
              </w:rPr>
            </w:pPr>
            <w:r w:rsidRPr="004B0954">
              <w:rPr>
                <w:rFonts w:ascii="Times New Roman" w:hAnsi="Times New Roman" w:cs="Times New Roman"/>
                <w:bCs/>
                <w:color w:val="auto"/>
                <w:sz w:val="22"/>
                <w:szCs w:val="22"/>
              </w:rPr>
              <w:t xml:space="preserve">Map out </w:t>
            </w:r>
            <w:r w:rsidRPr="004B0954">
              <w:rPr>
                <w:rFonts w:ascii="Times New Roman" w:hAnsi="Times New Roman" w:cs="Times New Roman"/>
                <w:color w:val="auto"/>
                <w:sz w:val="22"/>
                <w:szCs w:val="22"/>
              </w:rPr>
              <w:t xml:space="preserve">GBV prevention and response actors in project </w:t>
            </w:r>
            <w:r w:rsidR="00BF5955" w:rsidRPr="004B0954">
              <w:rPr>
                <w:rFonts w:ascii="Times New Roman" w:hAnsi="Times New Roman" w:cs="Times New Roman"/>
                <w:color w:val="auto"/>
                <w:sz w:val="22"/>
                <w:szCs w:val="22"/>
              </w:rPr>
              <w:t xml:space="preserve">regions and </w:t>
            </w:r>
            <w:r w:rsidRPr="004B0954">
              <w:rPr>
                <w:rFonts w:ascii="Times New Roman" w:hAnsi="Times New Roman" w:cs="Times New Roman"/>
                <w:color w:val="auto"/>
                <w:sz w:val="22"/>
                <w:szCs w:val="22"/>
              </w:rPr>
              <w:t>adjoining communities.</w:t>
            </w:r>
          </w:p>
          <w:p w14:paraId="5009A591" w14:textId="77777777" w:rsidR="00DF24EC" w:rsidRPr="004B0954" w:rsidRDefault="00DF24EC" w:rsidP="00486306">
            <w:pPr>
              <w:spacing w:after="0"/>
              <w:jc w:val="both"/>
              <w:rPr>
                <w:rFonts w:ascii="Times New Roman" w:hAnsi="Times New Roman" w:cs="Times New Roman"/>
              </w:rPr>
            </w:pPr>
          </w:p>
        </w:tc>
        <w:tc>
          <w:tcPr>
            <w:tcW w:w="1350" w:type="dxa"/>
            <w:gridSpan w:val="4"/>
          </w:tcPr>
          <w:p w14:paraId="1D2180CC" w14:textId="4C1B7C01" w:rsidR="00DF24EC" w:rsidRPr="004B0954" w:rsidRDefault="00BE573E" w:rsidP="00486306">
            <w:pPr>
              <w:spacing w:after="0"/>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2956D2C6" w14:textId="6E4E9845" w:rsidR="00DF24EC" w:rsidRPr="004B0954" w:rsidRDefault="00DF24EC" w:rsidP="00BE573E">
            <w:pPr>
              <w:spacing w:after="0"/>
              <w:jc w:val="both"/>
              <w:rPr>
                <w:rFonts w:ascii="Times New Roman" w:hAnsi="Times New Roman" w:cs="Times New Roman"/>
              </w:rPr>
            </w:pPr>
            <w:r w:rsidRPr="004B0954">
              <w:rPr>
                <w:rFonts w:ascii="Times New Roman" w:hAnsi="Times New Roman" w:cs="Times New Roman"/>
              </w:rPr>
              <w:t>MOA</w:t>
            </w:r>
            <w:r w:rsidR="006816DC" w:rsidRPr="004B0954">
              <w:rPr>
                <w:rFonts w:ascii="Times New Roman" w:hAnsi="Times New Roman" w:cs="Times New Roman"/>
              </w:rPr>
              <w:t>,</w:t>
            </w:r>
            <w:r w:rsidR="00BE573E" w:rsidRPr="004B0954">
              <w:rPr>
                <w:rFonts w:ascii="Times New Roman" w:hAnsi="Times New Roman" w:cs="Times New Roman"/>
              </w:rPr>
              <w:t xml:space="preserve"> RBOA/ Woreda Agriculture office</w:t>
            </w:r>
            <w:r w:rsidR="006816DC" w:rsidRPr="004B0954">
              <w:rPr>
                <w:rFonts w:ascii="Times New Roman" w:hAnsi="Times New Roman" w:cs="Times New Roman"/>
              </w:rPr>
              <w:t xml:space="preserve"> </w:t>
            </w:r>
          </w:p>
        </w:tc>
        <w:tc>
          <w:tcPr>
            <w:tcW w:w="1440" w:type="dxa"/>
            <w:gridSpan w:val="5"/>
          </w:tcPr>
          <w:p w14:paraId="02E0C668" w14:textId="5834806F" w:rsidR="00DF24EC" w:rsidRPr="004B0954" w:rsidRDefault="00BE573E" w:rsidP="00486306">
            <w:pPr>
              <w:spacing w:after="0"/>
              <w:jc w:val="both"/>
              <w:rPr>
                <w:rFonts w:ascii="Times New Roman" w:hAnsi="Times New Roman" w:cs="Times New Roman"/>
                <w:noProof/>
              </w:rPr>
            </w:pPr>
            <w:r w:rsidRPr="004B0954">
              <w:rPr>
                <w:rFonts w:ascii="Times New Roman" w:hAnsi="Times New Roman" w:cs="Times New Roman"/>
                <w:noProof/>
              </w:rPr>
              <w:t>AF</w:t>
            </w:r>
          </w:p>
        </w:tc>
        <w:tc>
          <w:tcPr>
            <w:tcW w:w="1620" w:type="dxa"/>
          </w:tcPr>
          <w:p w14:paraId="04283A68" w14:textId="712FF56B" w:rsidR="00DF24EC" w:rsidRPr="004B0954" w:rsidRDefault="00BE573E" w:rsidP="00486306">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MOA</w:t>
            </w:r>
          </w:p>
          <w:p w14:paraId="16556B39" w14:textId="77777777" w:rsidR="00DF24EC" w:rsidRPr="004B0954" w:rsidRDefault="00DF24EC" w:rsidP="00486306">
            <w:pPr>
              <w:spacing w:after="0"/>
              <w:jc w:val="both"/>
              <w:rPr>
                <w:rFonts w:ascii="Times New Roman" w:hAnsi="Times New Roman" w:cs="Times New Roman"/>
                <w:noProof/>
              </w:rPr>
            </w:pPr>
          </w:p>
        </w:tc>
        <w:tc>
          <w:tcPr>
            <w:tcW w:w="1672" w:type="dxa"/>
          </w:tcPr>
          <w:p w14:paraId="65FF2018" w14:textId="57E6F491" w:rsidR="00DF24EC" w:rsidRPr="004B0954" w:rsidRDefault="006816DC" w:rsidP="00BE573E">
            <w:pPr>
              <w:spacing w:after="0"/>
              <w:jc w:val="both"/>
              <w:rPr>
                <w:rFonts w:ascii="Times New Roman" w:hAnsi="Times New Roman" w:cs="Times New Roman"/>
                <w:noProof/>
              </w:rPr>
            </w:pPr>
            <w:r w:rsidRPr="004B0954">
              <w:rPr>
                <w:rFonts w:ascii="Times New Roman" w:hAnsi="Times New Roman" w:cs="Times New Roman"/>
                <w:noProof/>
              </w:rPr>
              <w:t xml:space="preserve">WB </w:t>
            </w:r>
            <w:r w:rsidR="00BE573E" w:rsidRPr="004B0954">
              <w:rPr>
                <w:rFonts w:ascii="Times New Roman" w:hAnsi="Times New Roman" w:cs="Times New Roman"/>
                <w:noProof/>
              </w:rPr>
              <w:t xml:space="preserve">may </w:t>
            </w:r>
            <w:r w:rsidRPr="004B0954">
              <w:rPr>
                <w:rFonts w:ascii="Times New Roman" w:hAnsi="Times New Roman" w:cs="Times New Roman"/>
                <w:noProof/>
              </w:rPr>
              <w:t xml:space="preserve">provide technical support as appropriate </w:t>
            </w:r>
          </w:p>
        </w:tc>
      </w:tr>
      <w:tr w:rsidR="004B0954" w:rsidRPr="004B0954" w14:paraId="4FCCEFDF" w14:textId="77777777" w:rsidTr="004B0954">
        <w:trPr>
          <w:trHeight w:val="764"/>
        </w:trPr>
        <w:tc>
          <w:tcPr>
            <w:tcW w:w="669" w:type="dxa"/>
            <w:gridSpan w:val="2"/>
          </w:tcPr>
          <w:p w14:paraId="33B0DA39" w14:textId="71D3E65A" w:rsidR="00A6514F" w:rsidRPr="004B0954" w:rsidRDefault="00BE573E" w:rsidP="00E90655">
            <w:pPr>
              <w:jc w:val="both"/>
              <w:rPr>
                <w:rFonts w:ascii="Times New Roman" w:hAnsi="Times New Roman" w:cs="Times New Roman"/>
              </w:rPr>
            </w:pPr>
            <w:r w:rsidRPr="004B0954">
              <w:rPr>
                <w:rFonts w:ascii="Times New Roman" w:hAnsi="Times New Roman" w:cs="Times New Roman"/>
              </w:rPr>
              <w:t>4.2</w:t>
            </w:r>
          </w:p>
        </w:tc>
        <w:tc>
          <w:tcPr>
            <w:tcW w:w="5309" w:type="dxa"/>
            <w:gridSpan w:val="4"/>
          </w:tcPr>
          <w:p w14:paraId="22B090B4" w14:textId="2EE7C62C" w:rsidR="006816DC" w:rsidRPr="004B0954" w:rsidRDefault="006816DC" w:rsidP="00BE573E">
            <w:pPr>
              <w:pStyle w:val="Default"/>
              <w:jc w:val="both"/>
              <w:rPr>
                <w:rFonts w:ascii="Times New Roman" w:hAnsi="Times New Roman" w:cs="Times New Roman"/>
                <w:bCs/>
                <w:color w:val="auto"/>
                <w:sz w:val="22"/>
                <w:szCs w:val="22"/>
              </w:rPr>
            </w:pPr>
            <w:r w:rsidRPr="004B0954">
              <w:rPr>
                <w:rFonts w:ascii="Times New Roman" w:hAnsi="Times New Roman" w:cs="Times New Roman"/>
                <w:bCs/>
                <w:color w:val="auto"/>
                <w:sz w:val="22"/>
                <w:szCs w:val="22"/>
              </w:rPr>
              <w:t xml:space="preserve">Organize periodic </w:t>
            </w:r>
            <w:r w:rsidR="00BE573E" w:rsidRPr="004B0954">
              <w:rPr>
                <w:rFonts w:ascii="Times New Roman" w:hAnsi="Times New Roman" w:cs="Times New Roman"/>
                <w:bCs/>
                <w:color w:val="auto"/>
                <w:sz w:val="22"/>
                <w:szCs w:val="22"/>
              </w:rPr>
              <w:t xml:space="preserve">review meetings </w:t>
            </w:r>
            <w:r w:rsidRPr="004B0954">
              <w:rPr>
                <w:rFonts w:ascii="Times New Roman" w:hAnsi="Times New Roman" w:cs="Times New Roman"/>
                <w:bCs/>
                <w:color w:val="auto"/>
                <w:sz w:val="22"/>
                <w:szCs w:val="22"/>
              </w:rPr>
              <w:t xml:space="preserve">for </w:t>
            </w:r>
            <w:r w:rsidR="00BE573E" w:rsidRPr="004B0954">
              <w:rPr>
                <w:rFonts w:ascii="Times New Roman" w:hAnsi="Times New Roman" w:cs="Times New Roman"/>
                <w:bCs/>
                <w:color w:val="auto"/>
                <w:sz w:val="22"/>
                <w:szCs w:val="22"/>
              </w:rPr>
              <w:t>regional/</w:t>
            </w:r>
            <w:r w:rsidRPr="004B0954">
              <w:rPr>
                <w:rFonts w:ascii="Times New Roman" w:hAnsi="Times New Roman" w:cs="Times New Roman"/>
                <w:bCs/>
                <w:color w:val="auto"/>
                <w:sz w:val="22"/>
                <w:szCs w:val="22"/>
              </w:rPr>
              <w:t xml:space="preserve">woreda level multi-sectoral GBV service providers on GBV </w:t>
            </w:r>
            <w:r w:rsidR="00BE573E" w:rsidRPr="004B0954">
              <w:rPr>
                <w:rFonts w:ascii="Times New Roman" w:hAnsi="Times New Roman" w:cs="Times New Roman"/>
                <w:bCs/>
                <w:color w:val="auto"/>
                <w:sz w:val="22"/>
                <w:szCs w:val="22"/>
              </w:rPr>
              <w:t>related issues by the MOA</w:t>
            </w:r>
            <w:r w:rsidRPr="004B0954">
              <w:rPr>
                <w:rFonts w:ascii="Times New Roman" w:hAnsi="Times New Roman" w:cs="Times New Roman"/>
                <w:bCs/>
                <w:color w:val="auto"/>
                <w:sz w:val="22"/>
                <w:szCs w:val="22"/>
              </w:rPr>
              <w:t xml:space="preserve"> </w:t>
            </w:r>
          </w:p>
        </w:tc>
        <w:tc>
          <w:tcPr>
            <w:tcW w:w="1350" w:type="dxa"/>
            <w:gridSpan w:val="4"/>
          </w:tcPr>
          <w:p w14:paraId="6AAC149E" w14:textId="0CAA5BC8" w:rsidR="006816DC" w:rsidRPr="004B0954" w:rsidRDefault="00BE573E" w:rsidP="00E90655">
            <w:pPr>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669FD952" w14:textId="5D2E07D8" w:rsidR="006816DC" w:rsidRPr="004B0954" w:rsidRDefault="006816DC" w:rsidP="00BE573E">
            <w:pPr>
              <w:spacing w:after="0"/>
              <w:jc w:val="both"/>
              <w:rPr>
                <w:rFonts w:ascii="Times New Roman" w:hAnsi="Times New Roman" w:cs="Times New Roman"/>
              </w:rPr>
            </w:pPr>
            <w:r w:rsidRPr="004B0954">
              <w:rPr>
                <w:rFonts w:ascii="Times New Roman" w:hAnsi="Times New Roman" w:cs="Times New Roman"/>
              </w:rPr>
              <w:t>M</w:t>
            </w:r>
            <w:r w:rsidR="00BE573E" w:rsidRPr="004B0954">
              <w:rPr>
                <w:rFonts w:ascii="Times New Roman" w:hAnsi="Times New Roman" w:cs="Times New Roman"/>
              </w:rPr>
              <w:t>O</w:t>
            </w:r>
            <w:r w:rsidRPr="004B0954">
              <w:rPr>
                <w:rFonts w:ascii="Times New Roman" w:hAnsi="Times New Roman" w:cs="Times New Roman"/>
              </w:rPr>
              <w:t xml:space="preserve">A </w:t>
            </w:r>
          </w:p>
        </w:tc>
        <w:tc>
          <w:tcPr>
            <w:tcW w:w="1440" w:type="dxa"/>
            <w:gridSpan w:val="5"/>
          </w:tcPr>
          <w:p w14:paraId="6BFB6022" w14:textId="5A4C9FB2" w:rsidR="00A6514F" w:rsidRPr="004B0954" w:rsidRDefault="00A6514F" w:rsidP="00E90655">
            <w:pPr>
              <w:jc w:val="both"/>
              <w:rPr>
                <w:rFonts w:ascii="Times New Roman" w:hAnsi="Times New Roman" w:cs="Times New Roman"/>
                <w:noProof/>
              </w:rPr>
            </w:pPr>
          </w:p>
          <w:p w14:paraId="1D611C85" w14:textId="78EDFD04" w:rsidR="006816DC" w:rsidRPr="004B0954" w:rsidRDefault="00BE573E" w:rsidP="00E90655">
            <w:pPr>
              <w:jc w:val="both"/>
              <w:rPr>
                <w:rFonts w:ascii="Times New Roman" w:hAnsi="Times New Roman" w:cs="Times New Roman"/>
                <w:noProof/>
              </w:rPr>
            </w:pPr>
            <w:r w:rsidRPr="004B0954">
              <w:rPr>
                <w:rFonts w:ascii="Times New Roman" w:hAnsi="Times New Roman" w:cs="Times New Roman"/>
                <w:noProof/>
              </w:rPr>
              <w:t>AF</w:t>
            </w:r>
          </w:p>
        </w:tc>
        <w:tc>
          <w:tcPr>
            <w:tcW w:w="1620" w:type="dxa"/>
          </w:tcPr>
          <w:p w14:paraId="318FEC37" w14:textId="49EFE0FB" w:rsidR="00A6514F" w:rsidRPr="004B0954" w:rsidRDefault="00BE573E"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PIU</w:t>
            </w:r>
            <w:r w:rsidR="006816DC" w:rsidRPr="004B0954">
              <w:rPr>
                <w:rFonts w:ascii="Times New Roman" w:hAnsi="Times New Roman" w:cs="Times New Roman"/>
                <w:color w:val="auto"/>
                <w:sz w:val="22"/>
                <w:szCs w:val="22"/>
              </w:rPr>
              <w:t xml:space="preserve"> </w:t>
            </w:r>
          </w:p>
        </w:tc>
        <w:tc>
          <w:tcPr>
            <w:tcW w:w="1672" w:type="dxa"/>
          </w:tcPr>
          <w:p w14:paraId="7965C1E9" w14:textId="48976261" w:rsidR="00A6514F" w:rsidRPr="004B0954" w:rsidRDefault="00A6514F" w:rsidP="00E90655">
            <w:pPr>
              <w:jc w:val="both"/>
              <w:rPr>
                <w:rFonts w:ascii="Times New Roman" w:hAnsi="Times New Roman" w:cs="Times New Roman"/>
                <w:noProof/>
              </w:rPr>
            </w:pPr>
          </w:p>
        </w:tc>
      </w:tr>
      <w:tr w:rsidR="004B0954" w:rsidRPr="004B0954" w14:paraId="31972F2C" w14:textId="77777777" w:rsidTr="004B0954">
        <w:trPr>
          <w:trHeight w:val="611"/>
        </w:trPr>
        <w:tc>
          <w:tcPr>
            <w:tcW w:w="669" w:type="dxa"/>
            <w:gridSpan w:val="2"/>
          </w:tcPr>
          <w:p w14:paraId="13B93AE4" w14:textId="1296CC29" w:rsidR="008712CE" w:rsidRPr="004B0954" w:rsidRDefault="008712CE" w:rsidP="00E90655">
            <w:pPr>
              <w:jc w:val="both"/>
              <w:rPr>
                <w:rFonts w:ascii="Times New Roman" w:hAnsi="Times New Roman" w:cs="Times New Roman"/>
              </w:rPr>
            </w:pPr>
          </w:p>
          <w:p w14:paraId="041B0AF8" w14:textId="4414E7E9" w:rsidR="00DF5F19" w:rsidRPr="004B0954" w:rsidRDefault="00BE573E" w:rsidP="00E90655">
            <w:pPr>
              <w:jc w:val="both"/>
              <w:rPr>
                <w:rFonts w:ascii="Times New Roman" w:hAnsi="Times New Roman" w:cs="Times New Roman"/>
              </w:rPr>
            </w:pPr>
            <w:r w:rsidRPr="004B0954">
              <w:rPr>
                <w:rFonts w:ascii="Times New Roman" w:hAnsi="Times New Roman" w:cs="Times New Roman"/>
              </w:rPr>
              <w:t>4.3</w:t>
            </w:r>
          </w:p>
        </w:tc>
        <w:tc>
          <w:tcPr>
            <w:tcW w:w="5309" w:type="dxa"/>
            <w:gridSpan w:val="4"/>
          </w:tcPr>
          <w:p w14:paraId="7111C07D" w14:textId="77777777" w:rsidR="008712CE" w:rsidRPr="004B0954" w:rsidRDefault="008712CE" w:rsidP="00E90655">
            <w:pPr>
              <w:pStyle w:val="Default"/>
              <w:jc w:val="both"/>
              <w:rPr>
                <w:rFonts w:ascii="Times New Roman" w:hAnsi="Times New Roman" w:cs="Times New Roman"/>
                <w:bCs/>
                <w:color w:val="auto"/>
                <w:sz w:val="22"/>
                <w:szCs w:val="22"/>
              </w:rPr>
            </w:pPr>
          </w:p>
          <w:p w14:paraId="51127C5C" w14:textId="77777777" w:rsidR="008712CE" w:rsidRPr="004B0954" w:rsidRDefault="008712CE" w:rsidP="00E90655">
            <w:pPr>
              <w:pStyle w:val="Default"/>
              <w:jc w:val="both"/>
              <w:rPr>
                <w:rFonts w:ascii="Times New Roman" w:hAnsi="Times New Roman" w:cs="Times New Roman"/>
                <w:bCs/>
                <w:color w:val="auto"/>
                <w:sz w:val="22"/>
                <w:szCs w:val="22"/>
              </w:rPr>
            </w:pPr>
          </w:p>
          <w:p w14:paraId="060D13D9" w14:textId="4A16CBE0" w:rsidR="00DF5F19" w:rsidRPr="004B0954" w:rsidRDefault="00DF5F19" w:rsidP="00E90655">
            <w:pPr>
              <w:pStyle w:val="Default"/>
              <w:jc w:val="both"/>
              <w:rPr>
                <w:rFonts w:ascii="Times New Roman" w:hAnsi="Times New Roman" w:cs="Times New Roman"/>
                <w:bCs/>
                <w:color w:val="auto"/>
                <w:sz w:val="22"/>
                <w:szCs w:val="22"/>
              </w:rPr>
            </w:pPr>
            <w:r w:rsidRPr="004B0954">
              <w:rPr>
                <w:rFonts w:ascii="Times New Roman" w:hAnsi="Times New Roman" w:cs="Times New Roman"/>
                <w:bCs/>
                <w:color w:val="auto"/>
                <w:sz w:val="22"/>
                <w:szCs w:val="22"/>
              </w:rPr>
              <w:t xml:space="preserve">Support development of GBV referral pathways </w:t>
            </w:r>
          </w:p>
        </w:tc>
        <w:tc>
          <w:tcPr>
            <w:tcW w:w="1350" w:type="dxa"/>
            <w:gridSpan w:val="4"/>
          </w:tcPr>
          <w:p w14:paraId="3EBF1FFC" w14:textId="3E23059B" w:rsidR="00DF5F19" w:rsidRPr="004B0954" w:rsidRDefault="00BE573E" w:rsidP="00E90655">
            <w:pPr>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453ACA35" w14:textId="03118821" w:rsidR="00DF5F19" w:rsidRPr="004B0954" w:rsidRDefault="00BE573E" w:rsidP="00BE573E">
            <w:pPr>
              <w:spacing w:after="0"/>
              <w:jc w:val="both"/>
              <w:rPr>
                <w:rFonts w:ascii="Times New Roman" w:hAnsi="Times New Roman" w:cs="Times New Roman"/>
              </w:rPr>
            </w:pPr>
            <w:r w:rsidRPr="004B0954">
              <w:rPr>
                <w:rFonts w:ascii="Times New Roman" w:hAnsi="Times New Roman" w:cs="Times New Roman"/>
              </w:rPr>
              <w:t xml:space="preserve">MOA </w:t>
            </w:r>
          </w:p>
        </w:tc>
        <w:tc>
          <w:tcPr>
            <w:tcW w:w="1440" w:type="dxa"/>
            <w:gridSpan w:val="5"/>
          </w:tcPr>
          <w:p w14:paraId="7B6C2DEA" w14:textId="52A0116F" w:rsidR="00DF5F19" w:rsidRPr="004B0954" w:rsidRDefault="00BE573E" w:rsidP="00E90655">
            <w:pPr>
              <w:jc w:val="both"/>
              <w:rPr>
                <w:rFonts w:ascii="Times New Roman" w:hAnsi="Times New Roman" w:cs="Times New Roman"/>
                <w:noProof/>
              </w:rPr>
            </w:pPr>
            <w:r w:rsidRPr="004B0954">
              <w:rPr>
                <w:rFonts w:ascii="Times New Roman" w:hAnsi="Times New Roman" w:cs="Times New Roman"/>
                <w:noProof/>
              </w:rPr>
              <w:t xml:space="preserve"> AF</w:t>
            </w:r>
          </w:p>
        </w:tc>
        <w:tc>
          <w:tcPr>
            <w:tcW w:w="1620" w:type="dxa"/>
          </w:tcPr>
          <w:p w14:paraId="002A61F9" w14:textId="61C9B90C" w:rsidR="00DF5F19" w:rsidRPr="004B0954" w:rsidRDefault="00BE573E" w:rsidP="002B06B9">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MOA</w:t>
            </w:r>
            <w:r w:rsidR="002B06B9" w:rsidRPr="004B0954">
              <w:rPr>
                <w:rFonts w:ascii="Times New Roman" w:hAnsi="Times New Roman" w:cs="Times New Roman"/>
                <w:color w:val="auto"/>
                <w:sz w:val="22"/>
                <w:szCs w:val="22"/>
              </w:rPr>
              <w:t xml:space="preserve"> </w:t>
            </w:r>
          </w:p>
        </w:tc>
        <w:tc>
          <w:tcPr>
            <w:tcW w:w="1672" w:type="dxa"/>
          </w:tcPr>
          <w:p w14:paraId="74FD3996" w14:textId="77777777" w:rsidR="00DF5F19" w:rsidRPr="004B0954" w:rsidRDefault="00DF5F19" w:rsidP="00E90655">
            <w:pPr>
              <w:jc w:val="both"/>
              <w:rPr>
                <w:rFonts w:ascii="Times New Roman" w:hAnsi="Times New Roman" w:cs="Times New Roman"/>
                <w:noProof/>
              </w:rPr>
            </w:pPr>
          </w:p>
        </w:tc>
      </w:tr>
      <w:tr w:rsidR="004B0954" w:rsidRPr="004B0954" w14:paraId="79183363" w14:textId="77777777" w:rsidTr="004B0954">
        <w:trPr>
          <w:trHeight w:val="565"/>
        </w:trPr>
        <w:tc>
          <w:tcPr>
            <w:tcW w:w="669" w:type="dxa"/>
            <w:gridSpan w:val="2"/>
          </w:tcPr>
          <w:p w14:paraId="0FF980A1" w14:textId="75C2FE71" w:rsidR="00DF5F19" w:rsidRPr="004B0954" w:rsidRDefault="006E128E" w:rsidP="00E90655">
            <w:pPr>
              <w:jc w:val="both"/>
              <w:rPr>
                <w:rFonts w:ascii="Times New Roman" w:hAnsi="Times New Roman" w:cs="Times New Roman"/>
              </w:rPr>
            </w:pPr>
            <w:r w:rsidRPr="004B0954">
              <w:rPr>
                <w:rFonts w:ascii="Times New Roman" w:hAnsi="Times New Roman" w:cs="Times New Roman"/>
              </w:rPr>
              <w:t>d</w:t>
            </w:r>
          </w:p>
        </w:tc>
        <w:tc>
          <w:tcPr>
            <w:tcW w:w="5309" w:type="dxa"/>
            <w:gridSpan w:val="4"/>
          </w:tcPr>
          <w:p w14:paraId="71C86B90" w14:textId="2A87C0D8" w:rsidR="00DF5F19" w:rsidRPr="004B0954" w:rsidRDefault="00BF5955" w:rsidP="002B06B9">
            <w:pPr>
              <w:pStyle w:val="Default"/>
              <w:jc w:val="both"/>
              <w:rPr>
                <w:rFonts w:ascii="Times New Roman" w:hAnsi="Times New Roman" w:cs="Times New Roman"/>
                <w:bCs/>
                <w:color w:val="auto"/>
                <w:sz w:val="22"/>
                <w:szCs w:val="22"/>
              </w:rPr>
            </w:pPr>
            <w:r w:rsidRPr="004B0954">
              <w:rPr>
                <w:rFonts w:ascii="Times New Roman" w:hAnsi="Times New Roman" w:cs="Times New Roman"/>
                <w:bCs/>
                <w:color w:val="auto"/>
                <w:sz w:val="22"/>
                <w:szCs w:val="22"/>
              </w:rPr>
              <w:t>Identify G</w:t>
            </w:r>
            <w:r w:rsidR="008712CE" w:rsidRPr="004B0954">
              <w:rPr>
                <w:rFonts w:ascii="Times New Roman" w:hAnsi="Times New Roman" w:cs="Times New Roman"/>
                <w:bCs/>
                <w:color w:val="auto"/>
                <w:sz w:val="22"/>
                <w:szCs w:val="22"/>
              </w:rPr>
              <w:t xml:space="preserve">BV/SEA/SH </w:t>
            </w:r>
            <w:r w:rsidR="002846A1" w:rsidRPr="004B0954">
              <w:rPr>
                <w:rFonts w:ascii="Times New Roman" w:hAnsi="Times New Roman" w:cs="Times New Roman"/>
                <w:bCs/>
                <w:color w:val="auto"/>
                <w:sz w:val="22"/>
                <w:szCs w:val="22"/>
              </w:rPr>
              <w:t>service providers to whom cases have to be referred</w:t>
            </w:r>
            <w:r w:rsidR="002B06B9" w:rsidRPr="004B0954">
              <w:rPr>
                <w:rFonts w:ascii="Times New Roman" w:hAnsi="Times New Roman" w:cs="Times New Roman"/>
                <w:bCs/>
                <w:color w:val="auto"/>
                <w:sz w:val="22"/>
                <w:szCs w:val="22"/>
              </w:rPr>
              <w:t xml:space="preserve"> </w:t>
            </w:r>
          </w:p>
        </w:tc>
        <w:tc>
          <w:tcPr>
            <w:tcW w:w="1350" w:type="dxa"/>
            <w:gridSpan w:val="4"/>
          </w:tcPr>
          <w:p w14:paraId="30D373AA" w14:textId="34FDD877" w:rsidR="00DF5F19" w:rsidRPr="004B0954" w:rsidRDefault="002B06B9" w:rsidP="00BF5955">
            <w:pPr>
              <w:jc w:val="both"/>
              <w:rPr>
                <w:rFonts w:ascii="Times New Roman" w:hAnsi="Times New Roman" w:cs="Times New Roman"/>
              </w:rPr>
            </w:pPr>
            <w:r w:rsidRPr="004B0954">
              <w:rPr>
                <w:rFonts w:ascii="Times New Roman" w:hAnsi="Times New Roman" w:cs="Times New Roman"/>
              </w:rPr>
              <w:t>D</w:t>
            </w:r>
            <w:r w:rsidR="00BF5955" w:rsidRPr="004B0954">
              <w:rPr>
                <w:rFonts w:ascii="Times New Roman" w:hAnsi="Times New Roman" w:cs="Times New Roman"/>
              </w:rPr>
              <w:t>2022/2023</w:t>
            </w:r>
          </w:p>
        </w:tc>
        <w:tc>
          <w:tcPr>
            <w:tcW w:w="1620" w:type="dxa"/>
            <w:gridSpan w:val="4"/>
          </w:tcPr>
          <w:p w14:paraId="3B092071" w14:textId="77777777" w:rsidR="00DF5F19" w:rsidRPr="004B0954" w:rsidRDefault="002B06B9" w:rsidP="00E90655">
            <w:pPr>
              <w:jc w:val="both"/>
              <w:rPr>
                <w:rFonts w:ascii="Times New Roman" w:hAnsi="Times New Roman" w:cs="Times New Roman"/>
              </w:rPr>
            </w:pPr>
            <w:r w:rsidRPr="004B0954">
              <w:rPr>
                <w:rFonts w:ascii="Times New Roman" w:hAnsi="Times New Roman" w:cs="Times New Roman"/>
              </w:rPr>
              <w:t xml:space="preserve">MoA &amp; GBV service providers </w:t>
            </w:r>
          </w:p>
        </w:tc>
        <w:tc>
          <w:tcPr>
            <w:tcW w:w="1440" w:type="dxa"/>
            <w:gridSpan w:val="5"/>
          </w:tcPr>
          <w:p w14:paraId="682E672A" w14:textId="77777777" w:rsidR="00DF5F19" w:rsidRPr="004B0954" w:rsidRDefault="00DF5F19" w:rsidP="00E90655">
            <w:pPr>
              <w:jc w:val="both"/>
              <w:rPr>
                <w:rFonts w:ascii="Times New Roman" w:hAnsi="Times New Roman" w:cs="Times New Roman"/>
                <w:noProof/>
              </w:rPr>
            </w:pPr>
          </w:p>
        </w:tc>
        <w:tc>
          <w:tcPr>
            <w:tcW w:w="1620" w:type="dxa"/>
          </w:tcPr>
          <w:p w14:paraId="5738A779" w14:textId="77777777" w:rsidR="00DF5F19" w:rsidRPr="004B0954" w:rsidRDefault="002B06B9"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 xml:space="preserve"> </w:t>
            </w:r>
          </w:p>
        </w:tc>
        <w:tc>
          <w:tcPr>
            <w:tcW w:w="1672" w:type="dxa"/>
          </w:tcPr>
          <w:p w14:paraId="337DB868" w14:textId="153AC7DC" w:rsidR="00DF5F19" w:rsidRPr="004B0954" w:rsidRDefault="006816DC" w:rsidP="00486306">
            <w:pPr>
              <w:spacing w:after="0"/>
              <w:jc w:val="both"/>
              <w:rPr>
                <w:rFonts w:ascii="Times New Roman" w:hAnsi="Times New Roman" w:cs="Times New Roman"/>
                <w:noProof/>
              </w:rPr>
            </w:pPr>
            <w:r w:rsidRPr="004B0954">
              <w:rPr>
                <w:rFonts w:ascii="Times New Roman" w:hAnsi="Times New Roman" w:cs="Times New Roman"/>
                <w:noProof/>
              </w:rPr>
              <w:t xml:space="preserve">Key GBV messages to be integrated </w:t>
            </w:r>
            <w:r w:rsidR="000028A9" w:rsidRPr="004B0954">
              <w:rPr>
                <w:rFonts w:ascii="Times New Roman" w:hAnsi="Times New Roman" w:cs="Times New Roman"/>
                <w:noProof/>
              </w:rPr>
              <w:t xml:space="preserve">in </w:t>
            </w:r>
            <w:r w:rsidRPr="004B0954">
              <w:rPr>
                <w:rFonts w:ascii="Times New Roman" w:hAnsi="Times New Roman" w:cs="Times New Roman"/>
                <w:noProof/>
              </w:rPr>
              <w:t xml:space="preserve"> GBV service providers existing outreach </w:t>
            </w:r>
            <w:r w:rsidR="000028A9" w:rsidRPr="004B0954">
              <w:rPr>
                <w:rFonts w:ascii="Times New Roman" w:hAnsi="Times New Roman" w:cs="Times New Roman"/>
                <w:noProof/>
              </w:rPr>
              <w:t xml:space="preserve">strategies </w:t>
            </w:r>
            <w:r w:rsidRPr="004B0954">
              <w:rPr>
                <w:rFonts w:ascii="Times New Roman" w:hAnsi="Times New Roman" w:cs="Times New Roman"/>
                <w:noProof/>
              </w:rPr>
              <w:t xml:space="preserve"> </w:t>
            </w:r>
            <w:r w:rsidR="000028A9" w:rsidRPr="004B0954">
              <w:rPr>
                <w:rFonts w:ascii="Times New Roman" w:hAnsi="Times New Roman" w:cs="Times New Roman"/>
                <w:noProof/>
              </w:rPr>
              <w:t xml:space="preserve">Eg, </w:t>
            </w:r>
            <w:r w:rsidRPr="004B0954">
              <w:rPr>
                <w:rFonts w:ascii="Times New Roman" w:hAnsi="Times New Roman" w:cs="Times New Roman"/>
                <w:noProof/>
              </w:rPr>
              <w:t>health extension workers</w:t>
            </w:r>
            <w:r w:rsidR="000028A9" w:rsidRPr="004B0954">
              <w:rPr>
                <w:rFonts w:ascii="Times New Roman" w:hAnsi="Times New Roman" w:cs="Times New Roman"/>
                <w:noProof/>
              </w:rPr>
              <w:t>)</w:t>
            </w:r>
          </w:p>
        </w:tc>
      </w:tr>
      <w:tr w:rsidR="004B0954" w:rsidRPr="004B0954" w14:paraId="16E2B1FD" w14:textId="77777777" w:rsidTr="004B0954">
        <w:trPr>
          <w:trHeight w:val="565"/>
        </w:trPr>
        <w:tc>
          <w:tcPr>
            <w:tcW w:w="669" w:type="dxa"/>
            <w:gridSpan w:val="2"/>
          </w:tcPr>
          <w:p w14:paraId="3078535A" w14:textId="15CC1C46" w:rsidR="00DF24EC" w:rsidRPr="004B0954" w:rsidRDefault="006E128E" w:rsidP="006E128E">
            <w:pPr>
              <w:jc w:val="both"/>
              <w:rPr>
                <w:rFonts w:ascii="Times New Roman" w:hAnsi="Times New Roman" w:cs="Times New Roman"/>
              </w:rPr>
            </w:pPr>
            <w:r w:rsidRPr="004B0954">
              <w:rPr>
                <w:rFonts w:ascii="Times New Roman" w:hAnsi="Times New Roman" w:cs="Times New Roman"/>
              </w:rPr>
              <w:t>e</w:t>
            </w:r>
            <w:r w:rsidR="00DF24EC" w:rsidRPr="004B0954">
              <w:rPr>
                <w:rFonts w:ascii="Times New Roman" w:hAnsi="Times New Roman" w:cs="Times New Roman"/>
              </w:rPr>
              <w:t>)</w:t>
            </w:r>
          </w:p>
        </w:tc>
        <w:tc>
          <w:tcPr>
            <w:tcW w:w="5309" w:type="dxa"/>
            <w:gridSpan w:val="4"/>
          </w:tcPr>
          <w:p w14:paraId="13227D3D" w14:textId="11C1C6E8" w:rsidR="00DF24EC" w:rsidRPr="004B0954" w:rsidRDefault="002846A1" w:rsidP="00E90655">
            <w:pPr>
              <w:pStyle w:val="Default"/>
              <w:jc w:val="both"/>
              <w:rPr>
                <w:rFonts w:ascii="Times New Roman" w:hAnsi="Times New Roman" w:cs="Times New Roman"/>
                <w:bCs/>
                <w:color w:val="auto"/>
                <w:sz w:val="22"/>
                <w:szCs w:val="22"/>
              </w:rPr>
            </w:pPr>
            <w:r w:rsidRPr="004B0954">
              <w:rPr>
                <w:rFonts w:ascii="Times New Roman" w:hAnsi="Times New Roman" w:cs="Times New Roman"/>
                <w:color w:val="auto"/>
                <w:sz w:val="22"/>
                <w:szCs w:val="22"/>
              </w:rPr>
              <w:t xml:space="preserve">Monitor the mechanisms of how </w:t>
            </w:r>
            <w:r w:rsidRPr="004B0954">
              <w:rPr>
                <w:rFonts w:ascii="Times New Roman" w:hAnsi="Times New Roman" w:cs="Times New Roman"/>
                <w:bCs/>
                <w:color w:val="auto"/>
                <w:sz w:val="22"/>
                <w:szCs w:val="22"/>
              </w:rPr>
              <w:t>DBV/SEA/SH cases are handled by service providers</w:t>
            </w:r>
            <w:r w:rsidRPr="004B0954">
              <w:rPr>
                <w:rStyle w:val="FootnoteReference"/>
                <w:rFonts w:ascii="Times New Roman" w:hAnsi="Times New Roman" w:cs="Times New Roman"/>
                <w:bCs/>
                <w:color w:val="auto"/>
                <w:sz w:val="22"/>
                <w:szCs w:val="22"/>
              </w:rPr>
              <w:footnoteReference w:id="2"/>
            </w:r>
          </w:p>
        </w:tc>
        <w:tc>
          <w:tcPr>
            <w:tcW w:w="1350" w:type="dxa"/>
            <w:gridSpan w:val="4"/>
          </w:tcPr>
          <w:p w14:paraId="7EA67676" w14:textId="7F2A5CB3" w:rsidR="00DF24EC" w:rsidRPr="004B0954" w:rsidRDefault="00BF5955" w:rsidP="00D67D6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2022/2023</w:t>
            </w:r>
            <w:r w:rsidR="00DF24EC" w:rsidRPr="004B0954">
              <w:rPr>
                <w:rFonts w:ascii="Times New Roman" w:hAnsi="Times New Roman" w:cs="Times New Roman"/>
                <w:color w:val="auto"/>
                <w:sz w:val="22"/>
                <w:szCs w:val="22"/>
              </w:rPr>
              <w:t xml:space="preserve"> </w:t>
            </w:r>
          </w:p>
        </w:tc>
        <w:tc>
          <w:tcPr>
            <w:tcW w:w="1620" w:type="dxa"/>
            <w:gridSpan w:val="4"/>
          </w:tcPr>
          <w:p w14:paraId="531B8D12"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MOA</w:t>
            </w:r>
          </w:p>
        </w:tc>
        <w:tc>
          <w:tcPr>
            <w:tcW w:w="1440" w:type="dxa"/>
            <w:gridSpan w:val="5"/>
          </w:tcPr>
          <w:p w14:paraId="62FFBD49" w14:textId="173343CE" w:rsidR="00DF24EC" w:rsidRPr="004B0954" w:rsidRDefault="00BF5955" w:rsidP="00E90655">
            <w:pPr>
              <w:jc w:val="both"/>
              <w:rPr>
                <w:rFonts w:ascii="Times New Roman" w:hAnsi="Times New Roman" w:cs="Times New Roman"/>
                <w:noProof/>
              </w:rPr>
            </w:pPr>
            <w:r w:rsidRPr="004B0954">
              <w:rPr>
                <w:rFonts w:ascii="Times New Roman" w:hAnsi="Times New Roman" w:cs="Times New Roman"/>
                <w:noProof/>
              </w:rPr>
              <w:t>AF</w:t>
            </w:r>
          </w:p>
        </w:tc>
        <w:tc>
          <w:tcPr>
            <w:tcW w:w="1620" w:type="dxa"/>
          </w:tcPr>
          <w:p w14:paraId="25E43055" w14:textId="77777777" w:rsidR="00BF5955" w:rsidRPr="004B0954" w:rsidDel="00BF5955" w:rsidRDefault="00DF24EC" w:rsidP="00BF59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 xml:space="preserve">Ongoing review during implementation </w:t>
            </w:r>
          </w:p>
          <w:p w14:paraId="6E210898" w14:textId="7D8BFC86" w:rsidR="006B4C25" w:rsidRPr="004B0954" w:rsidRDefault="006B4C25">
            <w:pPr>
              <w:pStyle w:val="Default"/>
              <w:jc w:val="both"/>
              <w:rPr>
                <w:rFonts w:ascii="Times New Roman" w:hAnsi="Times New Roman" w:cs="Times New Roman"/>
                <w:color w:val="auto"/>
                <w:sz w:val="22"/>
                <w:szCs w:val="22"/>
              </w:rPr>
            </w:pPr>
          </w:p>
        </w:tc>
        <w:tc>
          <w:tcPr>
            <w:tcW w:w="1672" w:type="dxa"/>
          </w:tcPr>
          <w:p w14:paraId="04539E0B" w14:textId="77777777" w:rsidR="00DF24EC" w:rsidRPr="004B0954" w:rsidRDefault="00DF24EC" w:rsidP="00E90655">
            <w:pPr>
              <w:jc w:val="both"/>
              <w:rPr>
                <w:rFonts w:ascii="Times New Roman" w:hAnsi="Times New Roman" w:cs="Times New Roman"/>
                <w:noProof/>
              </w:rPr>
            </w:pPr>
          </w:p>
        </w:tc>
      </w:tr>
      <w:tr w:rsidR="004B0954" w:rsidRPr="004B0954" w14:paraId="63FDC38E" w14:textId="77777777" w:rsidTr="004B0954">
        <w:trPr>
          <w:trHeight w:val="215"/>
        </w:trPr>
        <w:tc>
          <w:tcPr>
            <w:tcW w:w="13680" w:type="dxa"/>
            <w:gridSpan w:val="21"/>
          </w:tcPr>
          <w:p w14:paraId="11D2EDE9" w14:textId="77777777" w:rsidR="00DF24EC" w:rsidRPr="004B0954" w:rsidRDefault="00DF24EC" w:rsidP="00486306">
            <w:pPr>
              <w:spacing w:after="0"/>
              <w:jc w:val="both"/>
              <w:rPr>
                <w:rFonts w:ascii="Times New Roman" w:hAnsi="Times New Roman" w:cs="Times New Roman"/>
                <w:b/>
                <w:i/>
                <w:noProof/>
              </w:rPr>
            </w:pPr>
            <w:r w:rsidRPr="004B0954">
              <w:rPr>
                <w:rFonts w:ascii="Times New Roman" w:hAnsi="Times New Roman" w:cs="Times New Roman"/>
                <w:b/>
                <w:i/>
                <w:noProof/>
              </w:rPr>
              <w:t>5. GBV sensitive channels for reporting in the Grievance Redress Mechanism (GRM)</w:t>
            </w:r>
          </w:p>
        </w:tc>
      </w:tr>
      <w:tr w:rsidR="004B0954" w:rsidRPr="004B0954" w14:paraId="1A21195D" w14:textId="77777777" w:rsidTr="004B0954">
        <w:trPr>
          <w:trHeight w:val="565"/>
        </w:trPr>
        <w:tc>
          <w:tcPr>
            <w:tcW w:w="669" w:type="dxa"/>
            <w:gridSpan w:val="2"/>
          </w:tcPr>
          <w:p w14:paraId="1A6FD90C" w14:textId="7E63AC1E" w:rsidR="00DF24EC" w:rsidRPr="004B0954" w:rsidRDefault="00DF24EC" w:rsidP="00E90655">
            <w:pPr>
              <w:jc w:val="both"/>
              <w:rPr>
                <w:rFonts w:ascii="Times New Roman" w:hAnsi="Times New Roman" w:cs="Times New Roman"/>
              </w:rPr>
            </w:pPr>
          </w:p>
          <w:p w14:paraId="19441C78" w14:textId="000E702C" w:rsidR="00933984" w:rsidRPr="004B0954" w:rsidRDefault="00933984" w:rsidP="00E90655">
            <w:pPr>
              <w:jc w:val="both"/>
              <w:rPr>
                <w:rFonts w:ascii="Times New Roman" w:hAnsi="Times New Roman" w:cs="Times New Roman"/>
              </w:rPr>
            </w:pPr>
            <w:r w:rsidRPr="004B0954">
              <w:rPr>
                <w:rFonts w:ascii="Times New Roman" w:hAnsi="Times New Roman" w:cs="Times New Roman"/>
              </w:rPr>
              <w:t>5.1</w:t>
            </w:r>
          </w:p>
        </w:tc>
        <w:tc>
          <w:tcPr>
            <w:tcW w:w="5309" w:type="dxa"/>
            <w:gridSpan w:val="4"/>
          </w:tcPr>
          <w:p w14:paraId="4221E9F4" w14:textId="33163831" w:rsidR="00691DE1" w:rsidRPr="004B0954" w:rsidRDefault="006F55A6" w:rsidP="00E90655">
            <w:pPr>
              <w:jc w:val="both"/>
              <w:rPr>
                <w:rFonts w:ascii="Times New Roman" w:hAnsi="Times New Roman" w:cs="Times New Roman"/>
              </w:rPr>
            </w:pPr>
            <w:r w:rsidRPr="004B0954">
              <w:rPr>
                <w:rFonts w:ascii="Times New Roman" w:hAnsi="Times New Roman" w:cs="Times New Roman"/>
              </w:rPr>
              <w:t>Establish</w:t>
            </w:r>
            <w:r w:rsidR="00DF24EC" w:rsidRPr="004B0954">
              <w:rPr>
                <w:rFonts w:ascii="Times New Roman" w:hAnsi="Times New Roman" w:cs="Times New Roman"/>
                <w:bCs/>
              </w:rPr>
              <w:t xml:space="preserve"> grievance redress mechanism </w:t>
            </w:r>
            <w:r w:rsidRPr="004B0954">
              <w:rPr>
                <w:rFonts w:ascii="Times New Roman" w:hAnsi="Times New Roman" w:cs="Times New Roman"/>
              </w:rPr>
              <w:t xml:space="preserve">committees at </w:t>
            </w:r>
            <w:r w:rsidR="00DF24EC" w:rsidRPr="004B0954">
              <w:rPr>
                <w:rFonts w:ascii="Times New Roman" w:hAnsi="Times New Roman" w:cs="Times New Roman"/>
              </w:rPr>
              <w:t>multiple channels to initiate a complaint</w:t>
            </w:r>
            <w:r w:rsidRPr="004B0954">
              <w:rPr>
                <w:rFonts w:ascii="Times New Roman" w:hAnsi="Times New Roman" w:cs="Times New Roman"/>
              </w:rPr>
              <w:t>-repose interface</w:t>
            </w:r>
            <w:r w:rsidR="00E4236E" w:rsidRPr="004B0954">
              <w:rPr>
                <w:rFonts w:ascii="Times New Roman" w:hAnsi="Times New Roman" w:cs="Times New Roman"/>
              </w:rPr>
              <w:t xml:space="preserve"> at MOA, regional and woreda levels</w:t>
            </w:r>
            <w:r w:rsidR="00DF24EC" w:rsidRPr="004B0954">
              <w:rPr>
                <w:rFonts w:ascii="Times New Roman" w:hAnsi="Times New Roman" w:cs="Times New Roman"/>
              </w:rPr>
              <w:t>.</w:t>
            </w:r>
          </w:p>
          <w:p w14:paraId="3EE01902" w14:textId="36927032" w:rsidR="00C202E1" w:rsidRPr="004B0954" w:rsidRDefault="00691DE1" w:rsidP="002F4ADE">
            <w:pPr>
              <w:pStyle w:val="ListParagraph"/>
              <w:numPr>
                <w:ilvl w:val="2"/>
                <w:numId w:val="10"/>
              </w:numPr>
              <w:ind w:left="293"/>
              <w:jc w:val="both"/>
              <w:rPr>
                <w:rFonts w:ascii="Times New Roman" w:hAnsi="Times New Roman" w:cs="Times New Roman"/>
                <w:sz w:val="22"/>
                <w:szCs w:val="22"/>
              </w:rPr>
            </w:pPr>
            <w:r w:rsidRPr="004B0954">
              <w:rPr>
                <w:rFonts w:ascii="Times New Roman" w:hAnsi="Times New Roman" w:cs="Times New Roman"/>
                <w:sz w:val="22"/>
                <w:szCs w:val="22"/>
              </w:rPr>
              <w:t>Establish SEA/SH allegations reporting channels</w:t>
            </w:r>
            <w:r w:rsidR="00933984" w:rsidRPr="004B0954">
              <w:rPr>
                <w:rFonts w:ascii="Times New Roman" w:hAnsi="Times New Roman" w:cs="Times New Roman"/>
                <w:sz w:val="22"/>
                <w:szCs w:val="22"/>
              </w:rPr>
              <w:t xml:space="preserve"> at federal, regional and woreda and community level</w:t>
            </w:r>
            <w:r w:rsidR="006F55A6" w:rsidRPr="004B0954">
              <w:rPr>
                <w:rFonts w:ascii="Times New Roman" w:hAnsi="Times New Roman" w:cs="Times New Roman"/>
                <w:sz w:val="22"/>
                <w:szCs w:val="22"/>
              </w:rPr>
              <w:t>s</w:t>
            </w:r>
          </w:p>
          <w:p w14:paraId="6504E110" w14:textId="5EB1442B" w:rsidR="00DF24EC" w:rsidRPr="004B0954" w:rsidRDefault="00C202E1" w:rsidP="002F4ADE">
            <w:pPr>
              <w:pStyle w:val="ListParagraph"/>
              <w:numPr>
                <w:ilvl w:val="2"/>
                <w:numId w:val="10"/>
              </w:numPr>
              <w:ind w:left="293"/>
              <w:jc w:val="both"/>
              <w:rPr>
                <w:rFonts w:ascii="Times New Roman" w:hAnsi="Times New Roman" w:cs="Times New Roman"/>
                <w:sz w:val="22"/>
                <w:szCs w:val="22"/>
              </w:rPr>
            </w:pPr>
            <w:r w:rsidRPr="004B0954">
              <w:rPr>
                <w:rFonts w:ascii="Times New Roman" w:hAnsi="Times New Roman" w:cs="Times New Roman"/>
                <w:sz w:val="22"/>
                <w:szCs w:val="22"/>
              </w:rPr>
              <w:t xml:space="preserve">Conduct training of SEA/SH </w:t>
            </w:r>
            <w:r w:rsidR="006F55A6" w:rsidRPr="004B0954">
              <w:rPr>
                <w:rFonts w:ascii="Times New Roman" w:hAnsi="Times New Roman" w:cs="Times New Roman"/>
                <w:sz w:val="22"/>
                <w:szCs w:val="22"/>
              </w:rPr>
              <w:t xml:space="preserve">at selected </w:t>
            </w:r>
            <w:r w:rsidRPr="004B0954">
              <w:rPr>
                <w:rFonts w:ascii="Times New Roman" w:hAnsi="Times New Roman" w:cs="Times New Roman"/>
                <w:sz w:val="22"/>
                <w:szCs w:val="22"/>
              </w:rPr>
              <w:t>focal points</w:t>
            </w:r>
            <w:r w:rsidR="00DF24EC" w:rsidRPr="004B0954">
              <w:rPr>
                <w:rFonts w:ascii="Times New Roman" w:hAnsi="Times New Roman" w:cs="Times New Roman"/>
                <w:sz w:val="22"/>
                <w:szCs w:val="22"/>
              </w:rPr>
              <w:t xml:space="preserve"> </w:t>
            </w:r>
            <w:r w:rsidR="006F55A6" w:rsidRPr="004B0954">
              <w:rPr>
                <w:rFonts w:ascii="Times New Roman" w:hAnsi="Times New Roman" w:cs="Times New Roman"/>
                <w:sz w:val="22"/>
                <w:szCs w:val="22"/>
              </w:rPr>
              <w:t xml:space="preserve"> that shall be selected by the woreda and community representatives</w:t>
            </w:r>
          </w:p>
        </w:tc>
        <w:tc>
          <w:tcPr>
            <w:tcW w:w="1350" w:type="dxa"/>
            <w:gridSpan w:val="4"/>
          </w:tcPr>
          <w:p w14:paraId="073B08DE" w14:textId="58723336" w:rsidR="00DF24EC" w:rsidRPr="004B0954" w:rsidRDefault="006F55A6" w:rsidP="00E90655">
            <w:pPr>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7ECFEF42"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 xml:space="preserve">Ministry of Agriculture </w:t>
            </w:r>
          </w:p>
        </w:tc>
        <w:tc>
          <w:tcPr>
            <w:tcW w:w="1440" w:type="dxa"/>
            <w:gridSpan w:val="5"/>
          </w:tcPr>
          <w:p w14:paraId="0A1AA32D" w14:textId="30238917" w:rsidR="00DF24EC" w:rsidRPr="004B0954" w:rsidRDefault="006F55A6" w:rsidP="00E90655">
            <w:pPr>
              <w:jc w:val="both"/>
              <w:rPr>
                <w:rFonts w:ascii="Times New Roman" w:hAnsi="Times New Roman" w:cs="Times New Roman"/>
                <w:noProof/>
              </w:rPr>
            </w:pPr>
            <w:r w:rsidRPr="004B0954">
              <w:rPr>
                <w:rFonts w:ascii="Times New Roman" w:hAnsi="Times New Roman" w:cs="Times New Roman"/>
              </w:rPr>
              <w:t>AF</w:t>
            </w:r>
          </w:p>
        </w:tc>
        <w:tc>
          <w:tcPr>
            <w:tcW w:w="1620" w:type="dxa"/>
          </w:tcPr>
          <w:p w14:paraId="3AF2B3EA" w14:textId="1D968AE7" w:rsidR="00DF24EC" w:rsidRPr="004B0954" w:rsidRDefault="006F55A6" w:rsidP="00E90655">
            <w:pPr>
              <w:jc w:val="both"/>
              <w:rPr>
                <w:rFonts w:ascii="Times New Roman" w:hAnsi="Times New Roman" w:cs="Times New Roman"/>
                <w:noProof/>
              </w:rPr>
            </w:pPr>
            <w:r w:rsidRPr="004B0954">
              <w:rPr>
                <w:rFonts w:ascii="Times New Roman" w:hAnsi="Times New Roman" w:cs="Times New Roman"/>
                <w:noProof/>
              </w:rPr>
              <w:t>A committee at MOA</w:t>
            </w:r>
          </w:p>
        </w:tc>
        <w:tc>
          <w:tcPr>
            <w:tcW w:w="1672" w:type="dxa"/>
          </w:tcPr>
          <w:p w14:paraId="0BECE530" w14:textId="57DC6A8D" w:rsidR="00DF24EC" w:rsidRPr="004B0954" w:rsidRDefault="00DF24EC" w:rsidP="00E90655">
            <w:pPr>
              <w:jc w:val="both"/>
              <w:rPr>
                <w:rFonts w:ascii="Times New Roman" w:hAnsi="Times New Roman" w:cs="Times New Roman"/>
                <w:noProof/>
              </w:rPr>
            </w:pPr>
          </w:p>
        </w:tc>
      </w:tr>
      <w:tr w:rsidR="004B0954" w:rsidRPr="004B0954" w14:paraId="7626DEE7" w14:textId="77777777" w:rsidTr="004B0954">
        <w:trPr>
          <w:trHeight w:val="565"/>
        </w:trPr>
        <w:tc>
          <w:tcPr>
            <w:tcW w:w="669" w:type="dxa"/>
            <w:gridSpan w:val="2"/>
          </w:tcPr>
          <w:p w14:paraId="44F202CE"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c)</w:t>
            </w:r>
          </w:p>
          <w:p w14:paraId="6E336584" w14:textId="4ADF313D" w:rsidR="00933984" w:rsidRPr="004B0954" w:rsidRDefault="00933984" w:rsidP="00E90655">
            <w:pPr>
              <w:jc w:val="both"/>
              <w:rPr>
                <w:rFonts w:ascii="Times New Roman" w:hAnsi="Times New Roman" w:cs="Times New Roman"/>
              </w:rPr>
            </w:pPr>
            <w:r w:rsidRPr="004B0954">
              <w:rPr>
                <w:rFonts w:ascii="Times New Roman" w:hAnsi="Times New Roman" w:cs="Times New Roman"/>
              </w:rPr>
              <w:t>5.2</w:t>
            </w:r>
          </w:p>
        </w:tc>
        <w:tc>
          <w:tcPr>
            <w:tcW w:w="5309" w:type="dxa"/>
            <w:gridSpan w:val="4"/>
          </w:tcPr>
          <w:p w14:paraId="44CA5AF6" w14:textId="42043A8A" w:rsidR="00DF24EC" w:rsidRPr="004B0954" w:rsidRDefault="00A14901" w:rsidP="00A14901">
            <w:pPr>
              <w:spacing w:after="0"/>
              <w:jc w:val="both"/>
              <w:rPr>
                <w:rFonts w:ascii="Times New Roman" w:hAnsi="Times New Roman" w:cs="Times New Roman"/>
              </w:rPr>
            </w:pPr>
            <w:r w:rsidRPr="004B0954">
              <w:rPr>
                <w:rFonts w:ascii="Times New Roman" w:hAnsi="Times New Roman" w:cs="Times New Roman"/>
              </w:rPr>
              <w:t>Assist newly established</w:t>
            </w:r>
            <w:r w:rsidR="00BF5955" w:rsidRPr="004B0954">
              <w:rPr>
                <w:rFonts w:ascii="Times New Roman" w:hAnsi="Times New Roman" w:cs="Times New Roman"/>
              </w:rPr>
              <w:t>/strengthened</w:t>
            </w:r>
            <w:r w:rsidR="00DF24EC" w:rsidRPr="004B0954">
              <w:rPr>
                <w:rFonts w:ascii="Times New Roman" w:hAnsi="Times New Roman" w:cs="Times New Roman"/>
              </w:rPr>
              <w:t xml:space="preserve"> GRM </w:t>
            </w:r>
            <w:r w:rsidRPr="004B0954">
              <w:rPr>
                <w:rFonts w:ascii="Times New Roman" w:hAnsi="Times New Roman" w:cs="Times New Roman"/>
              </w:rPr>
              <w:t xml:space="preserve"> mechanisms </w:t>
            </w:r>
            <w:r w:rsidR="00DF24EC" w:rsidRPr="004B0954">
              <w:rPr>
                <w:rFonts w:ascii="Times New Roman" w:hAnsi="Times New Roman" w:cs="Times New Roman"/>
              </w:rPr>
              <w:t>for</w:t>
            </w:r>
            <w:r w:rsidRPr="004B0954">
              <w:rPr>
                <w:rFonts w:ascii="Times New Roman" w:hAnsi="Times New Roman" w:cs="Times New Roman"/>
              </w:rPr>
              <w:t xml:space="preserve"> them to oversee</w:t>
            </w:r>
            <w:r w:rsidR="00DF24EC" w:rsidRPr="004B0954">
              <w:rPr>
                <w:rFonts w:ascii="Times New Roman" w:hAnsi="Times New Roman" w:cs="Times New Roman"/>
              </w:rPr>
              <w:t xml:space="preserve"> GBV </w:t>
            </w:r>
            <w:r w:rsidRPr="004B0954">
              <w:rPr>
                <w:rFonts w:ascii="Times New Roman" w:hAnsi="Times New Roman" w:cs="Times New Roman"/>
              </w:rPr>
              <w:t xml:space="preserve">situations </w:t>
            </w:r>
            <w:r w:rsidR="00DF24EC" w:rsidRPr="004B0954">
              <w:rPr>
                <w:rFonts w:ascii="Times New Roman" w:hAnsi="Times New Roman" w:cs="Times New Roman"/>
              </w:rPr>
              <w:t xml:space="preserve">and </w:t>
            </w:r>
            <w:r w:rsidRPr="004B0954">
              <w:rPr>
                <w:rFonts w:ascii="Times New Roman" w:hAnsi="Times New Roman" w:cs="Times New Roman"/>
              </w:rPr>
              <w:t xml:space="preserve">communities  and </w:t>
            </w:r>
            <w:r w:rsidR="00DF24EC" w:rsidRPr="004B0954">
              <w:rPr>
                <w:rFonts w:ascii="Times New Roman" w:hAnsi="Times New Roman" w:cs="Times New Roman"/>
              </w:rPr>
              <w:t xml:space="preserve">work with GBV Services Providers to raise awareness </w:t>
            </w:r>
            <w:r w:rsidR="00691DE1" w:rsidRPr="004B0954">
              <w:rPr>
                <w:rFonts w:ascii="Times New Roman" w:hAnsi="Times New Roman" w:cs="Times New Roman"/>
              </w:rPr>
              <w:t>and refer project related cases to GRM</w:t>
            </w:r>
            <w:r w:rsidRPr="004B0954">
              <w:rPr>
                <w:rFonts w:ascii="Times New Roman" w:hAnsi="Times New Roman" w:cs="Times New Roman"/>
              </w:rPr>
              <w:t xml:space="preserve"> mechanisms </w:t>
            </w:r>
            <w:r w:rsidR="00691DE1" w:rsidRPr="004B0954">
              <w:rPr>
                <w:rFonts w:ascii="Times New Roman" w:hAnsi="Times New Roman" w:cs="Times New Roman"/>
              </w:rPr>
              <w:t xml:space="preserve"> </w:t>
            </w:r>
          </w:p>
        </w:tc>
        <w:tc>
          <w:tcPr>
            <w:tcW w:w="1350" w:type="dxa"/>
            <w:gridSpan w:val="4"/>
          </w:tcPr>
          <w:p w14:paraId="22105953" w14:textId="374684D8" w:rsidR="00DF24EC" w:rsidRPr="004B0954" w:rsidRDefault="00A14901" w:rsidP="00E90655">
            <w:pPr>
              <w:jc w:val="both"/>
              <w:rPr>
                <w:rFonts w:ascii="Times New Roman" w:hAnsi="Times New Roman" w:cs="Times New Roman"/>
              </w:rPr>
            </w:pPr>
            <w:r w:rsidRPr="004B0954">
              <w:rPr>
                <w:rFonts w:ascii="Times New Roman" w:hAnsi="Times New Roman" w:cs="Times New Roman"/>
              </w:rPr>
              <w:t>2022</w:t>
            </w:r>
          </w:p>
        </w:tc>
        <w:tc>
          <w:tcPr>
            <w:tcW w:w="1620" w:type="dxa"/>
            <w:gridSpan w:val="4"/>
          </w:tcPr>
          <w:p w14:paraId="683F8357"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MOA</w:t>
            </w:r>
          </w:p>
        </w:tc>
        <w:tc>
          <w:tcPr>
            <w:tcW w:w="1440" w:type="dxa"/>
            <w:gridSpan w:val="5"/>
          </w:tcPr>
          <w:p w14:paraId="679E97AA" w14:textId="27631B9A" w:rsidR="00DF24EC" w:rsidRPr="004B0954" w:rsidRDefault="00A14901" w:rsidP="00E90655">
            <w:pPr>
              <w:jc w:val="both"/>
              <w:rPr>
                <w:rFonts w:ascii="Times New Roman" w:hAnsi="Times New Roman" w:cs="Times New Roman"/>
              </w:rPr>
            </w:pPr>
            <w:r w:rsidRPr="004B0954">
              <w:rPr>
                <w:rFonts w:ascii="Times New Roman" w:hAnsi="Times New Roman" w:cs="Times New Roman"/>
                <w:noProof/>
              </w:rPr>
              <w:t>AF</w:t>
            </w:r>
          </w:p>
        </w:tc>
        <w:tc>
          <w:tcPr>
            <w:tcW w:w="1620" w:type="dxa"/>
          </w:tcPr>
          <w:p w14:paraId="4A2D46A6" w14:textId="2026A137" w:rsidR="00DF24EC" w:rsidRPr="004B0954" w:rsidRDefault="00A14901" w:rsidP="00E90655">
            <w:pPr>
              <w:jc w:val="both"/>
              <w:rPr>
                <w:rFonts w:ascii="Times New Roman" w:hAnsi="Times New Roman" w:cs="Times New Roman"/>
                <w:noProof/>
              </w:rPr>
            </w:pPr>
            <w:r w:rsidRPr="004B0954">
              <w:rPr>
                <w:rFonts w:ascii="Times New Roman" w:hAnsi="Times New Roman" w:cs="Times New Roman"/>
                <w:noProof/>
              </w:rPr>
              <w:t>heads of GRM committees</w:t>
            </w:r>
          </w:p>
        </w:tc>
        <w:tc>
          <w:tcPr>
            <w:tcW w:w="1672" w:type="dxa"/>
          </w:tcPr>
          <w:p w14:paraId="45FC2BBD" w14:textId="77777777" w:rsidR="00DF24EC" w:rsidRPr="004B0954" w:rsidRDefault="00DF24EC" w:rsidP="00E90655">
            <w:pPr>
              <w:jc w:val="both"/>
              <w:rPr>
                <w:rFonts w:ascii="Times New Roman" w:hAnsi="Times New Roman" w:cs="Times New Roman"/>
                <w:noProof/>
              </w:rPr>
            </w:pPr>
          </w:p>
        </w:tc>
      </w:tr>
      <w:tr w:rsidR="004B0954" w:rsidRPr="004B0954" w14:paraId="6320AB8D" w14:textId="77777777" w:rsidTr="004B0954">
        <w:trPr>
          <w:trHeight w:val="565"/>
        </w:trPr>
        <w:tc>
          <w:tcPr>
            <w:tcW w:w="669" w:type="dxa"/>
            <w:gridSpan w:val="2"/>
          </w:tcPr>
          <w:p w14:paraId="4C423DAD"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d)</w:t>
            </w:r>
          </w:p>
        </w:tc>
        <w:tc>
          <w:tcPr>
            <w:tcW w:w="5309" w:type="dxa"/>
            <w:gridSpan w:val="4"/>
          </w:tcPr>
          <w:p w14:paraId="2444F622" w14:textId="0263A8E9" w:rsidR="00DF24EC" w:rsidRPr="004B0954" w:rsidRDefault="00BF5955" w:rsidP="00A14901">
            <w:pPr>
              <w:spacing w:after="0"/>
              <w:jc w:val="both"/>
              <w:rPr>
                <w:rFonts w:ascii="Times New Roman" w:hAnsi="Times New Roman" w:cs="Times New Roman"/>
              </w:rPr>
            </w:pPr>
            <w:r w:rsidRPr="004B0954">
              <w:rPr>
                <w:rFonts w:ascii="Times New Roman" w:hAnsi="Times New Roman" w:cs="Times New Roman"/>
                <w:bCs/>
              </w:rPr>
              <w:t>Monitor whether or not</w:t>
            </w:r>
            <w:r w:rsidR="00DF24EC" w:rsidRPr="004B0954">
              <w:rPr>
                <w:rFonts w:ascii="Times New Roman" w:hAnsi="Times New Roman" w:cs="Times New Roman"/>
                <w:bCs/>
              </w:rPr>
              <w:t xml:space="preserve"> the GRM </w:t>
            </w:r>
            <w:r w:rsidR="00A14901" w:rsidRPr="004B0954">
              <w:rPr>
                <w:rFonts w:ascii="Times New Roman" w:hAnsi="Times New Roman" w:cs="Times New Roman"/>
                <w:bCs/>
              </w:rPr>
              <w:t xml:space="preserve">committee </w:t>
            </w:r>
            <w:r w:rsidR="00DF24EC" w:rsidRPr="004B0954">
              <w:rPr>
                <w:rFonts w:ascii="Times New Roman" w:hAnsi="Times New Roman" w:cs="Times New Roman"/>
                <w:bCs/>
              </w:rPr>
              <w:t xml:space="preserve">receives and processes complaints </w:t>
            </w:r>
            <w:r w:rsidR="00DF24EC" w:rsidRPr="004B0954">
              <w:rPr>
                <w:rFonts w:ascii="Times New Roman" w:hAnsi="Times New Roman" w:cs="Times New Roman"/>
              </w:rPr>
              <w:t>in a timely manner to review and address GBV complaints</w:t>
            </w:r>
            <w:r w:rsidRPr="004B0954">
              <w:rPr>
                <w:rFonts w:ascii="Times New Roman" w:hAnsi="Times New Roman" w:cs="Times New Roman"/>
              </w:rPr>
              <w:t xml:space="preserve"> or otherwise</w:t>
            </w:r>
          </w:p>
        </w:tc>
        <w:tc>
          <w:tcPr>
            <w:tcW w:w="1350" w:type="dxa"/>
            <w:gridSpan w:val="4"/>
          </w:tcPr>
          <w:p w14:paraId="04A3397E" w14:textId="4453B601" w:rsidR="00DF24EC" w:rsidRPr="004B0954" w:rsidRDefault="00A14901" w:rsidP="00E90655">
            <w:pPr>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04E140AA"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MOA</w:t>
            </w:r>
          </w:p>
        </w:tc>
        <w:tc>
          <w:tcPr>
            <w:tcW w:w="1440" w:type="dxa"/>
            <w:gridSpan w:val="5"/>
          </w:tcPr>
          <w:p w14:paraId="507A5B7A" w14:textId="5A7A2984" w:rsidR="00DF24EC" w:rsidRPr="004B0954" w:rsidRDefault="00A14901" w:rsidP="00E90655">
            <w:pPr>
              <w:jc w:val="both"/>
              <w:rPr>
                <w:rFonts w:ascii="Times New Roman" w:hAnsi="Times New Roman" w:cs="Times New Roman"/>
              </w:rPr>
            </w:pPr>
            <w:r w:rsidRPr="004B0954">
              <w:rPr>
                <w:rFonts w:ascii="Times New Roman" w:hAnsi="Times New Roman" w:cs="Times New Roman"/>
              </w:rPr>
              <w:t>AF</w:t>
            </w:r>
          </w:p>
        </w:tc>
        <w:tc>
          <w:tcPr>
            <w:tcW w:w="1620" w:type="dxa"/>
          </w:tcPr>
          <w:p w14:paraId="58D349D8" w14:textId="0778BDAC" w:rsidR="00DF24EC" w:rsidRPr="004B0954" w:rsidRDefault="00A14901" w:rsidP="00A14901">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GRM committee heads</w:t>
            </w:r>
            <w:r w:rsidR="00DF24EC" w:rsidRPr="004B0954">
              <w:rPr>
                <w:rFonts w:ascii="Times New Roman" w:hAnsi="Times New Roman" w:cs="Times New Roman"/>
                <w:color w:val="auto"/>
                <w:sz w:val="22"/>
                <w:szCs w:val="22"/>
              </w:rPr>
              <w:t xml:space="preserve"> </w:t>
            </w:r>
          </w:p>
        </w:tc>
        <w:tc>
          <w:tcPr>
            <w:tcW w:w="1672" w:type="dxa"/>
          </w:tcPr>
          <w:p w14:paraId="3CC4C0AE" w14:textId="77777777" w:rsidR="00DF24EC" w:rsidRPr="004B0954" w:rsidRDefault="00DF24EC" w:rsidP="00E90655">
            <w:pPr>
              <w:jc w:val="both"/>
              <w:rPr>
                <w:rFonts w:ascii="Times New Roman" w:hAnsi="Times New Roman" w:cs="Times New Roman"/>
                <w:noProof/>
              </w:rPr>
            </w:pPr>
          </w:p>
        </w:tc>
      </w:tr>
      <w:tr w:rsidR="004B0954" w:rsidRPr="004B0954" w14:paraId="0A71BF45" w14:textId="77777777" w:rsidTr="004B0954">
        <w:trPr>
          <w:trHeight w:val="109"/>
        </w:trPr>
        <w:tc>
          <w:tcPr>
            <w:tcW w:w="13680" w:type="dxa"/>
            <w:gridSpan w:val="21"/>
          </w:tcPr>
          <w:p w14:paraId="77621FFA" w14:textId="77777777" w:rsidR="00DF24EC" w:rsidRPr="004B0954" w:rsidRDefault="00DF24EC" w:rsidP="00486306">
            <w:pPr>
              <w:spacing w:after="0"/>
              <w:jc w:val="both"/>
              <w:rPr>
                <w:rFonts w:ascii="Times New Roman" w:hAnsi="Times New Roman" w:cs="Times New Roman"/>
                <w:noProof/>
              </w:rPr>
            </w:pPr>
            <w:r w:rsidRPr="004B0954">
              <w:rPr>
                <w:rFonts w:ascii="Times New Roman" w:hAnsi="Times New Roman" w:cs="Times New Roman"/>
                <w:b/>
                <w:i/>
                <w:noProof/>
              </w:rPr>
              <w:t>6. Code of Conduct</w:t>
            </w:r>
          </w:p>
        </w:tc>
      </w:tr>
      <w:tr w:rsidR="004B0954" w:rsidRPr="004B0954" w14:paraId="4F12550B" w14:textId="77777777" w:rsidTr="004B0954">
        <w:trPr>
          <w:trHeight w:val="565"/>
        </w:trPr>
        <w:tc>
          <w:tcPr>
            <w:tcW w:w="720" w:type="dxa"/>
            <w:gridSpan w:val="3"/>
          </w:tcPr>
          <w:p w14:paraId="48C380E0"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a)</w:t>
            </w:r>
          </w:p>
        </w:tc>
        <w:tc>
          <w:tcPr>
            <w:tcW w:w="5220" w:type="dxa"/>
            <w:gridSpan w:val="2"/>
          </w:tcPr>
          <w:p w14:paraId="62ED9006" w14:textId="230564FE" w:rsidR="00DF24EC" w:rsidRPr="004B0954" w:rsidRDefault="00BF5955" w:rsidP="00E90655">
            <w:pPr>
              <w:jc w:val="both"/>
              <w:rPr>
                <w:rFonts w:ascii="Times New Roman" w:hAnsi="Times New Roman" w:cs="Times New Roman"/>
              </w:rPr>
            </w:pPr>
            <w:r w:rsidRPr="004B0954">
              <w:rPr>
                <w:rFonts w:ascii="Times New Roman" w:hAnsi="Times New Roman" w:cs="Times New Roman"/>
              </w:rPr>
              <w:t>Organize orientation sessions for newly employed project workers by p</w:t>
            </w:r>
            <w:r w:rsidR="000028A9" w:rsidRPr="004B0954">
              <w:rPr>
                <w:rFonts w:ascii="Times New Roman" w:hAnsi="Times New Roman" w:cs="Times New Roman"/>
              </w:rPr>
              <w:t>roject implementer</w:t>
            </w:r>
            <w:r w:rsidRPr="004B0954">
              <w:rPr>
                <w:rFonts w:ascii="Times New Roman" w:hAnsi="Times New Roman" w:cs="Times New Roman"/>
              </w:rPr>
              <w:t>s</w:t>
            </w:r>
            <w:r w:rsidR="000028A9" w:rsidRPr="004B0954">
              <w:rPr>
                <w:rFonts w:ascii="Times New Roman" w:hAnsi="Times New Roman" w:cs="Times New Roman"/>
              </w:rPr>
              <w:t xml:space="preserve"> </w:t>
            </w:r>
            <w:r w:rsidR="00F912FB" w:rsidRPr="004B0954">
              <w:rPr>
                <w:rFonts w:ascii="Times New Roman" w:hAnsi="Times New Roman" w:cs="Times New Roman"/>
              </w:rPr>
              <w:t xml:space="preserve">in collaboration with woreda women and children affairs </w:t>
            </w:r>
            <w:r w:rsidR="00DF24EC" w:rsidRPr="004B0954">
              <w:rPr>
                <w:rFonts w:ascii="Times New Roman" w:hAnsi="Times New Roman" w:cs="Times New Roman"/>
              </w:rPr>
              <w:t>on a regular basis</w:t>
            </w:r>
            <w:r w:rsidRPr="004B0954">
              <w:rPr>
                <w:rFonts w:ascii="Times New Roman" w:hAnsi="Times New Roman" w:cs="Times New Roman"/>
              </w:rPr>
              <w:t xml:space="preserve"> via:</w:t>
            </w:r>
          </w:p>
          <w:p w14:paraId="429C8F15" w14:textId="2C334C54" w:rsidR="00E865AB" w:rsidRPr="004B0954" w:rsidRDefault="00E865AB" w:rsidP="002F4ADE">
            <w:pPr>
              <w:pStyle w:val="ListParagraph"/>
              <w:numPr>
                <w:ilvl w:val="2"/>
                <w:numId w:val="10"/>
              </w:numPr>
              <w:ind w:left="293"/>
              <w:jc w:val="both"/>
              <w:rPr>
                <w:rFonts w:ascii="Times New Roman" w:hAnsi="Times New Roman" w:cs="Times New Roman"/>
                <w:sz w:val="22"/>
                <w:szCs w:val="22"/>
              </w:rPr>
            </w:pPr>
            <w:r w:rsidRPr="004B0954">
              <w:rPr>
                <w:rFonts w:ascii="Times New Roman" w:hAnsi="Times New Roman" w:cs="Times New Roman"/>
                <w:sz w:val="22"/>
                <w:szCs w:val="22"/>
              </w:rPr>
              <w:t xml:space="preserve">Review </w:t>
            </w:r>
            <w:r w:rsidR="00933984" w:rsidRPr="004B0954">
              <w:rPr>
                <w:rFonts w:ascii="Times New Roman" w:hAnsi="Times New Roman" w:cs="Times New Roman"/>
                <w:sz w:val="22"/>
                <w:szCs w:val="22"/>
              </w:rPr>
              <w:t xml:space="preserve">of the </w:t>
            </w:r>
            <w:r w:rsidRPr="004B0954">
              <w:rPr>
                <w:rFonts w:ascii="Times New Roman" w:hAnsi="Times New Roman" w:cs="Times New Roman"/>
                <w:sz w:val="22"/>
                <w:szCs w:val="22"/>
              </w:rPr>
              <w:t>existing public servants code of conduct to establish coverage of SEA/SH</w:t>
            </w:r>
          </w:p>
          <w:p w14:paraId="2729052E" w14:textId="33BB3FC4" w:rsidR="00E865AB" w:rsidRPr="004B0954" w:rsidRDefault="00933984" w:rsidP="002F4ADE">
            <w:pPr>
              <w:pStyle w:val="ListParagraph"/>
              <w:numPr>
                <w:ilvl w:val="2"/>
                <w:numId w:val="10"/>
              </w:numPr>
              <w:ind w:left="293"/>
              <w:jc w:val="both"/>
              <w:rPr>
                <w:rFonts w:ascii="Times New Roman" w:hAnsi="Times New Roman" w:cs="Times New Roman"/>
                <w:sz w:val="22"/>
                <w:szCs w:val="22"/>
              </w:rPr>
            </w:pPr>
            <w:r w:rsidRPr="004B0954">
              <w:rPr>
                <w:rFonts w:ascii="Times New Roman" w:hAnsi="Times New Roman" w:cs="Times New Roman"/>
                <w:sz w:val="22"/>
                <w:szCs w:val="22"/>
              </w:rPr>
              <w:t xml:space="preserve">Review of </w:t>
            </w:r>
            <w:r w:rsidR="00E865AB" w:rsidRPr="004B0954">
              <w:rPr>
                <w:rFonts w:ascii="Times New Roman" w:hAnsi="Times New Roman" w:cs="Times New Roman"/>
                <w:sz w:val="22"/>
                <w:szCs w:val="22"/>
              </w:rPr>
              <w:t xml:space="preserve">SEA/SH </w:t>
            </w:r>
            <w:r w:rsidRPr="004B0954">
              <w:rPr>
                <w:rFonts w:ascii="Times New Roman" w:hAnsi="Times New Roman" w:cs="Times New Roman"/>
                <w:sz w:val="22"/>
                <w:szCs w:val="22"/>
              </w:rPr>
              <w:t xml:space="preserve">policies and procedure of partners , like the WB </w:t>
            </w:r>
            <w:r w:rsidR="00E865AB" w:rsidRPr="004B0954">
              <w:rPr>
                <w:rFonts w:ascii="Times New Roman" w:hAnsi="Times New Roman" w:cs="Times New Roman"/>
                <w:sz w:val="22"/>
                <w:szCs w:val="22"/>
              </w:rPr>
              <w:t>in the orientation training session for the response team</w:t>
            </w:r>
            <w:r w:rsidR="003C3D62" w:rsidRPr="004B0954">
              <w:rPr>
                <w:rFonts w:ascii="Times New Roman" w:hAnsi="Times New Roman" w:cs="Times New Roman"/>
                <w:sz w:val="22"/>
                <w:szCs w:val="22"/>
              </w:rPr>
              <w:t>.</w:t>
            </w:r>
          </w:p>
          <w:p w14:paraId="0F33DDCE" w14:textId="064A4D7A" w:rsidR="005908C4" w:rsidRPr="004B0954" w:rsidRDefault="00E865AB" w:rsidP="002F4ADE">
            <w:pPr>
              <w:pStyle w:val="ListParagraph"/>
              <w:numPr>
                <w:ilvl w:val="2"/>
                <w:numId w:val="10"/>
              </w:numPr>
              <w:ind w:left="293"/>
              <w:jc w:val="both"/>
              <w:rPr>
                <w:rFonts w:ascii="Times New Roman" w:hAnsi="Times New Roman" w:cs="Times New Roman"/>
                <w:sz w:val="22"/>
                <w:szCs w:val="22"/>
              </w:rPr>
            </w:pPr>
            <w:r w:rsidRPr="004B0954">
              <w:rPr>
                <w:rFonts w:ascii="Times New Roman" w:hAnsi="Times New Roman" w:cs="Times New Roman"/>
                <w:sz w:val="22"/>
                <w:szCs w:val="22"/>
              </w:rPr>
              <w:t>Raise awareness routinely on SEA/SH prohibitions and related messages</w:t>
            </w:r>
            <w:r w:rsidR="003C3D62" w:rsidRPr="004B0954">
              <w:rPr>
                <w:rFonts w:ascii="Times New Roman" w:hAnsi="Times New Roman" w:cs="Times New Roman"/>
                <w:sz w:val="22"/>
                <w:szCs w:val="22"/>
              </w:rPr>
              <w:t xml:space="preserve"> </w:t>
            </w:r>
            <w:r w:rsidR="00AB016C" w:rsidRPr="004B0954">
              <w:rPr>
                <w:rFonts w:ascii="Times New Roman" w:hAnsi="Times New Roman" w:cs="Times New Roman"/>
                <w:sz w:val="22"/>
                <w:szCs w:val="22"/>
              </w:rPr>
              <w:t>(tool</w:t>
            </w:r>
            <w:r w:rsidR="003C3D62" w:rsidRPr="004B0954">
              <w:rPr>
                <w:rFonts w:ascii="Times New Roman" w:hAnsi="Times New Roman" w:cs="Times New Roman"/>
                <w:sz w:val="22"/>
                <w:szCs w:val="22"/>
              </w:rPr>
              <w:t>-</w:t>
            </w:r>
            <w:r w:rsidR="00AB016C" w:rsidRPr="004B0954">
              <w:rPr>
                <w:rFonts w:ascii="Times New Roman" w:hAnsi="Times New Roman" w:cs="Times New Roman"/>
                <w:sz w:val="22"/>
                <w:szCs w:val="22"/>
              </w:rPr>
              <w:t>box sessions/weekly/daily project staff briefing)</w:t>
            </w:r>
            <w:r w:rsidR="003C3D62" w:rsidRPr="004B0954">
              <w:rPr>
                <w:rFonts w:ascii="Times New Roman" w:hAnsi="Times New Roman" w:cs="Times New Roman"/>
                <w:sz w:val="22"/>
                <w:szCs w:val="22"/>
              </w:rPr>
              <w:t>.</w:t>
            </w:r>
          </w:p>
        </w:tc>
        <w:tc>
          <w:tcPr>
            <w:tcW w:w="1350" w:type="dxa"/>
            <w:gridSpan w:val="4"/>
          </w:tcPr>
          <w:p w14:paraId="53D0E5CD" w14:textId="318A1287" w:rsidR="00DF24EC" w:rsidRPr="004B0954" w:rsidRDefault="00933984" w:rsidP="00E90655">
            <w:pPr>
              <w:jc w:val="both"/>
              <w:rPr>
                <w:rFonts w:ascii="Times New Roman" w:hAnsi="Times New Roman" w:cs="Times New Roman"/>
              </w:rPr>
            </w:pPr>
            <w:r w:rsidRPr="004B0954">
              <w:rPr>
                <w:rFonts w:ascii="Times New Roman" w:hAnsi="Times New Roman" w:cs="Times New Roman"/>
              </w:rPr>
              <w:t>2022-2026</w:t>
            </w:r>
          </w:p>
        </w:tc>
        <w:tc>
          <w:tcPr>
            <w:tcW w:w="1620" w:type="dxa"/>
            <w:gridSpan w:val="4"/>
          </w:tcPr>
          <w:p w14:paraId="100CCBA2" w14:textId="6872C8D0" w:rsidR="00DF24EC" w:rsidRPr="004B0954" w:rsidRDefault="00933984" w:rsidP="00E90655">
            <w:pPr>
              <w:jc w:val="both"/>
              <w:rPr>
                <w:rFonts w:ascii="Times New Roman" w:hAnsi="Times New Roman" w:cs="Times New Roman"/>
              </w:rPr>
            </w:pPr>
            <w:r w:rsidRPr="004B0954">
              <w:rPr>
                <w:rFonts w:ascii="Times New Roman" w:hAnsi="Times New Roman" w:cs="Times New Roman"/>
              </w:rPr>
              <w:t>MOA</w:t>
            </w:r>
            <w:r w:rsidR="00F912FB" w:rsidRPr="004B0954">
              <w:rPr>
                <w:rFonts w:ascii="Times New Roman" w:hAnsi="Times New Roman" w:cs="Times New Roman"/>
              </w:rPr>
              <w:t xml:space="preserve"> </w:t>
            </w:r>
          </w:p>
        </w:tc>
        <w:tc>
          <w:tcPr>
            <w:tcW w:w="1440" w:type="dxa"/>
            <w:gridSpan w:val="5"/>
          </w:tcPr>
          <w:p w14:paraId="55ECB761" w14:textId="168ECE13" w:rsidR="00DF24EC" w:rsidRPr="004B0954" w:rsidRDefault="00933984" w:rsidP="00E90655">
            <w:pPr>
              <w:jc w:val="both"/>
              <w:rPr>
                <w:rFonts w:ascii="Times New Roman" w:hAnsi="Times New Roman" w:cs="Times New Roman"/>
                <w:noProof/>
              </w:rPr>
            </w:pPr>
            <w:r w:rsidRPr="004B0954">
              <w:rPr>
                <w:rFonts w:ascii="Times New Roman" w:hAnsi="Times New Roman" w:cs="Times New Roman"/>
                <w:noProof/>
              </w:rPr>
              <w:t>AF</w:t>
            </w:r>
          </w:p>
        </w:tc>
        <w:tc>
          <w:tcPr>
            <w:tcW w:w="1658" w:type="dxa"/>
            <w:gridSpan w:val="2"/>
          </w:tcPr>
          <w:p w14:paraId="7543E08C" w14:textId="7F8461B3" w:rsidR="00DF24EC" w:rsidRPr="004B0954" w:rsidRDefault="00933984" w:rsidP="00E90655">
            <w:pPr>
              <w:jc w:val="both"/>
              <w:rPr>
                <w:rFonts w:ascii="Times New Roman" w:hAnsi="Times New Roman" w:cs="Times New Roman"/>
                <w:noProof/>
              </w:rPr>
            </w:pPr>
            <w:r w:rsidRPr="004B0954">
              <w:rPr>
                <w:rFonts w:ascii="Times New Roman" w:hAnsi="Times New Roman" w:cs="Times New Roman"/>
                <w:noProof/>
              </w:rPr>
              <w:t>Responsible units in the MOA</w:t>
            </w:r>
          </w:p>
        </w:tc>
        <w:tc>
          <w:tcPr>
            <w:tcW w:w="1672" w:type="dxa"/>
          </w:tcPr>
          <w:p w14:paraId="480A52AB" w14:textId="14A51614" w:rsidR="00DF24EC" w:rsidRPr="004B0954" w:rsidRDefault="00DF24EC" w:rsidP="00E90655">
            <w:pPr>
              <w:jc w:val="both"/>
              <w:rPr>
                <w:rFonts w:ascii="Times New Roman" w:hAnsi="Times New Roman" w:cs="Times New Roman"/>
                <w:noProof/>
              </w:rPr>
            </w:pPr>
          </w:p>
        </w:tc>
      </w:tr>
      <w:tr w:rsidR="004B0954" w:rsidRPr="004B0954" w14:paraId="0BAE8FD3" w14:textId="77777777" w:rsidTr="004B0954">
        <w:trPr>
          <w:trHeight w:val="565"/>
        </w:trPr>
        <w:tc>
          <w:tcPr>
            <w:tcW w:w="720" w:type="dxa"/>
            <w:gridSpan w:val="3"/>
          </w:tcPr>
          <w:p w14:paraId="0D55688E"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b)</w:t>
            </w:r>
          </w:p>
        </w:tc>
        <w:tc>
          <w:tcPr>
            <w:tcW w:w="5220" w:type="dxa"/>
            <w:gridSpan w:val="2"/>
          </w:tcPr>
          <w:p w14:paraId="2098D619" w14:textId="44E5FD8A" w:rsidR="00DF24EC" w:rsidRPr="004B0954" w:rsidRDefault="00DF24EC" w:rsidP="00933984">
            <w:pPr>
              <w:spacing w:after="0"/>
              <w:jc w:val="both"/>
              <w:rPr>
                <w:rFonts w:ascii="Times New Roman" w:hAnsi="Times New Roman" w:cs="Times New Roman"/>
              </w:rPr>
            </w:pPr>
            <w:r w:rsidRPr="004B0954">
              <w:rPr>
                <w:rFonts w:ascii="Times New Roman" w:hAnsi="Times New Roman" w:cs="Times New Roman"/>
              </w:rPr>
              <w:t xml:space="preserve">Evaluate the contractor’s GBV response proposal </w:t>
            </w:r>
            <w:r w:rsidR="00933984" w:rsidRPr="004B0954">
              <w:rPr>
                <w:rFonts w:ascii="Times New Roman" w:hAnsi="Times New Roman" w:cs="Times New Roman"/>
              </w:rPr>
              <w:t>as part of the bid document</w:t>
            </w:r>
            <w:r w:rsidR="00CD1C40" w:rsidRPr="004B0954">
              <w:rPr>
                <w:rFonts w:ascii="Times New Roman" w:hAnsi="Times New Roman" w:cs="Times New Roman"/>
              </w:rPr>
              <w:t xml:space="preserve"> and</w:t>
            </w:r>
            <w:r w:rsidRPr="004B0954">
              <w:rPr>
                <w:rFonts w:ascii="Times New Roman" w:hAnsi="Times New Roman" w:cs="Times New Roman"/>
              </w:rPr>
              <w:t xml:space="preserve"> confirm prior to finalizing the contract</w:t>
            </w:r>
            <w:r w:rsidR="00E82B0D" w:rsidRPr="004B0954">
              <w:rPr>
                <w:rFonts w:ascii="Times New Roman" w:hAnsi="Times New Roman" w:cs="Times New Roman"/>
              </w:rPr>
              <w:t>,</w:t>
            </w:r>
            <w:r w:rsidRPr="004B0954">
              <w:rPr>
                <w:rFonts w:ascii="Times New Roman" w:hAnsi="Times New Roman" w:cs="Times New Roman"/>
              </w:rPr>
              <w:t xml:space="preserve"> the contractor’s ability to meet the project’s GBV requirements.</w:t>
            </w:r>
          </w:p>
        </w:tc>
        <w:tc>
          <w:tcPr>
            <w:tcW w:w="1350" w:type="dxa"/>
            <w:gridSpan w:val="4"/>
          </w:tcPr>
          <w:p w14:paraId="225A2DA3" w14:textId="463C7E75" w:rsidR="00DF24EC" w:rsidRPr="004B0954" w:rsidRDefault="00933984" w:rsidP="00E90655">
            <w:pPr>
              <w:jc w:val="both"/>
              <w:rPr>
                <w:rFonts w:ascii="Times New Roman" w:hAnsi="Times New Roman" w:cs="Times New Roman"/>
              </w:rPr>
            </w:pPr>
            <w:r w:rsidRPr="004B0954">
              <w:rPr>
                <w:rFonts w:ascii="Times New Roman" w:hAnsi="Times New Roman" w:cs="Times New Roman"/>
              </w:rPr>
              <w:t>2022-2026</w:t>
            </w:r>
            <w:r w:rsidR="00DF24EC" w:rsidRPr="004B0954">
              <w:rPr>
                <w:rFonts w:ascii="Times New Roman" w:hAnsi="Times New Roman" w:cs="Times New Roman"/>
              </w:rPr>
              <w:t xml:space="preserve"> </w:t>
            </w:r>
          </w:p>
        </w:tc>
        <w:tc>
          <w:tcPr>
            <w:tcW w:w="1620" w:type="dxa"/>
            <w:gridSpan w:val="4"/>
          </w:tcPr>
          <w:p w14:paraId="789594A9"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MOA</w:t>
            </w:r>
          </w:p>
        </w:tc>
        <w:tc>
          <w:tcPr>
            <w:tcW w:w="1440" w:type="dxa"/>
            <w:gridSpan w:val="5"/>
          </w:tcPr>
          <w:p w14:paraId="1D751E6B" w14:textId="19CC3ADA" w:rsidR="00DF24EC" w:rsidRPr="004B0954" w:rsidRDefault="00933984" w:rsidP="00E90655">
            <w:pPr>
              <w:jc w:val="both"/>
              <w:rPr>
                <w:rFonts w:ascii="Times New Roman" w:hAnsi="Times New Roman" w:cs="Times New Roman"/>
                <w:noProof/>
              </w:rPr>
            </w:pPr>
            <w:r w:rsidRPr="004B0954">
              <w:rPr>
                <w:rFonts w:ascii="Times New Roman" w:hAnsi="Times New Roman" w:cs="Times New Roman"/>
                <w:noProof/>
              </w:rPr>
              <w:t>AF</w:t>
            </w:r>
          </w:p>
        </w:tc>
        <w:tc>
          <w:tcPr>
            <w:tcW w:w="1658" w:type="dxa"/>
            <w:gridSpan w:val="2"/>
          </w:tcPr>
          <w:p w14:paraId="311CAEA3" w14:textId="77777777" w:rsidR="00DF24EC" w:rsidRPr="004B0954" w:rsidRDefault="00DF24EC" w:rsidP="00E90655">
            <w:pPr>
              <w:jc w:val="both"/>
              <w:rPr>
                <w:rFonts w:ascii="Times New Roman" w:hAnsi="Times New Roman" w:cs="Times New Roman"/>
                <w:noProof/>
              </w:rPr>
            </w:pPr>
            <w:r w:rsidRPr="004B0954">
              <w:rPr>
                <w:rFonts w:ascii="Times New Roman" w:hAnsi="Times New Roman" w:cs="Times New Roman"/>
                <w:noProof/>
              </w:rPr>
              <w:t>Reviwed by Task team</w:t>
            </w:r>
          </w:p>
        </w:tc>
        <w:tc>
          <w:tcPr>
            <w:tcW w:w="1672" w:type="dxa"/>
          </w:tcPr>
          <w:p w14:paraId="34646CCC" w14:textId="77777777" w:rsidR="00DF24EC" w:rsidRPr="004B0954" w:rsidRDefault="00DF24EC" w:rsidP="00E90655">
            <w:pPr>
              <w:jc w:val="both"/>
              <w:rPr>
                <w:rFonts w:ascii="Times New Roman" w:hAnsi="Times New Roman" w:cs="Times New Roman"/>
                <w:noProof/>
              </w:rPr>
            </w:pPr>
          </w:p>
        </w:tc>
      </w:tr>
      <w:tr w:rsidR="004B0954" w:rsidRPr="004B0954" w14:paraId="50396159" w14:textId="77777777" w:rsidTr="004B0954">
        <w:trPr>
          <w:trHeight w:val="565"/>
        </w:trPr>
        <w:tc>
          <w:tcPr>
            <w:tcW w:w="720" w:type="dxa"/>
            <w:gridSpan w:val="3"/>
          </w:tcPr>
          <w:p w14:paraId="42D05098"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c)</w:t>
            </w:r>
          </w:p>
        </w:tc>
        <w:tc>
          <w:tcPr>
            <w:tcW w:w="5220" w:type="dxa"/>
            <w:gridSpan w:val="2"/>
          </w:tcPr>
          <w:p w14:paraId="4CB0A0DF" w14:textId="4B787C5D" w:rsidR="00DF24EC" w:rsidRPr="004B0954" w:rsidRDefault="00E82B0D" w:rsidP="00E82B0D">
            <w:pPr>
              <w:spacing w:after="0"/>
              <w:jc w:val="both"/>
              <w:rPr>
                <w:rFonts w:ascii="Times New Roman" w:hAnsi="Times New Roman" w:cs="Times New Roman"/>
              </w:rPr>
            </w:pPr>
            <w:r w:rsidRPr="004B0954">
              <w:rPr>
                <w:rFonts w:ascii="Times New Roman" w:hAnsi="Times New Roman" w:cs="Times New Roman"/>
              </w:rPr>
              <w:t xml:space="preserve"> Work with the c</w:t>
            </w:r>
            <w:r w:rsidR="00DF24EC" w:rsidRPr="004B0954">
              <w:rPr>
                <w:rFonts w:ascii="Times New Roman" w:hAnsi="Times New Roman" w:cs="Times New Roman"/>
              </w:rPr>
              <w:t xml:space="preserve">ontractor to </w:t>
            </w:r>
            <w:r w:rsidRPr="004B0954">
              <w:rPr>
                <w:rFonts w:ascii="Times New Roman" w:hAnsi="Times New Roman" w:cs="Times New Roman"/>
              </w:rPr>
              <w:t>prepare the code of Conduct (</w:t>
            </w:r>
            <w:r w:rsidR="00DF24EC" w:rsidRPr="004B0954">
              <w:rPr>
                <w:rFonts w:ascii="Times New Roman" w:hAnsi="Times New Roman" w:cs="Times New Roman"/>
              </w:rPr>
              <w:t>CoC</w:t>
            </w:r>
            <w:r w:rsidRPr="004B0954">
              <w:rPr>
                <w:rFonts w:ascii="Times New Roman" w:hAnsi="Times New Roman" w:cs="Times New Roman"/>
              </w:rPr>
              <w:t xml:space="preserve"> that must meet WB minimum standards </w:t>
            </w:r>
            <w:r w:rsidR="00DF24EC" w:rsidRPr="004B0954">
              <w:rPr>
                <w:rFonts w:ascii="Times New Roman" w:hAnsi="Times New Roman" w:cs="Times New Roman"/>
              </w:rPr>
              <w:t xml:space="preserve">and ensure that all workers and managers sign </w:t>
            </w:r>
            <w:r w:rsidRPr="004B0954">
              <w:rPr>
                <w:rFonts w:ascii="Times New Roman" w:hAnsi="Times New Roman" w:cs="Times New Roman"/>
              </w:rPr>
              <w:t>it</w:t>
            </w:r>
            <w:r w:rsidR="00DF24EC" w:rsidRPr="004B0954">
              <w:rPr>
                <w:rFonts w:ascii="Times New Roman" w:hAnsi="Times New Roman" w:cs="Times New Roman"/>
              </w:rPr>
              <w:t>.</w:t>
            </w:r>
          </w:p>
        </w:tc>
        <w:tc>
          <w:tcPr>
            <w:tcW w:w="1350" w:type="dxa"/>
            <w:gridSpan w:val="4"/>
          </w:tcPr>
          <w:p w14:paraId="2F187A0F" w14:textId="6847DEFD" w:rsidR="00DF24EC" w:rsidRPr="004B0954" w:rsidRDefault="00933984" w:rsidP="00E90655">
            <w:pPr>
              <w:jc w:val="both"/>
              <w:rPr>
                <w:rFonts w:ascii="Times New Roman" w:hAnsi="Times New Roman" w:cs="Times New Roman"/>
              </w:rPr>
            </w:pPr>
            <w:r w:rsidRPr="004B0954">
              <w:rPr>
                <w:rFonts w:ascii="Times New Roman" w:hAnsi="Times New Roman" w:cs="Times New Roman"/>
              </w:rPr>
              <w:t>20222-2026</w:t>
            </w:r>
          </w:p>
        </w:tc>
        <w:tc>
          <w:tcPr>
            <w:tcW w:w="1620" w:type="dxa"/>
            <w:gridSpan w:val="4"/>
          </w:tcPr>
          <w:p w14:paraId="590F4C44" w14:textId="77777777" w:rsidR="00DF24EC" w:rsidRPr="004B0954" w:rsidRDefault="00DF24EC" w:rsidP="00E90655">
            <w:pPr>
              <w:jc w:val="both"/>
              <w:rPr>
                <w:rFonts w:ascii="Times New Roman" w:hAnsi="Times New Roman" w:cs="Times New Roman"/>
              </w:rPr>
            </w:pPr>
            <w:r w:rsidRPr="004B0954">
              <w:rPr>
                <w:rFonts w:ascii="Times New Roman" w:hAnsi="Times New Roman" w:cs="Times New Roman"/>
              </w:rPr>
              <w:t>Contractor</w:t>
            </w:r>
          </w:p>
        </w:tc>
        <w:tc>
          <w:tcPr>
            <w:tcW w:w="1440" w:type="dxa"/>
            <w:gridSpan w:val="5"/>
          </w:tcPr>
          <w:p w14:paraId="3AEDBD19" w14:textId="28427CA2" w:rsidR="00DF24EC" w:rsidRPr="004B0954" w:rsidRDefault="00933984" w:rsidP="00E90655">
            <w:pPr>
              <w:jc w:val="both"/>
              <w:rPr>
                <w:rFonts w:ascii="Times New Roman" w:hAnsi="Times New Roman" w:cs="Times New Roman"/>
                <w:noProof/>
              </w:rPr>
            </w:pPr>
            <w:r w:rsidRPr="004B0954">
              <w:rPr>
                <w:rFonts w:ascii="Times New Roman" w:hAnsi="Times New Roman" w:cs="Times New Roman"/>
                <w:noProof/>
              </w:rPr>
              <w:t>Contractor</w:t>
            </w:r>
          </w:p>
        </w:tc>
        <w:tc>
          <w:tcPr>
            <w:tcW w:w="1658" w:type="dxa"/>
            <w:gridSpan w:val="2"/>
          </w:tcPr>
          <w:p w14:paraId="4D7C2D3E" w14:textId="19B41BD6" w:rsidR="00DF24EC" w:rsidRPr="004B0954" w:rsidRDefault="00933984" w:rsidP="00E90655">
            <w:pPr>
              <w:jc w:val="both"/>
              <w:rPr>
                <w:rFonts w:ascii="Times New Roman" w:hAnsi="Times New Roman" w:cs="Times New Roman"/>
                <w:noProof/>
              </w:rPr>
            </w:pPr>
            <w:r w:rsidRPr="004B0954">
              <w:rPr>
                <w:rFonts w:ascii="Times New Roman" w:hAnsi="Times New Roman" w:cs="Times New Roman"/>
                <w:noProof/>
              </w:rPr>
              <w:t>construction supervisors</w:t>
            </w:r>
          </w:p>
        </w:tc>
        <w:tc>
          <w:tcPr>
            <w:tcW w:w="1672" w:type="dxa"/>
          </w:tcPr>
          <w:p w14:paraId="14878194" w14:textId="77777777" w:rsidR="00DF24EC" w:rsidRPr="004B0954" w:rsidRDefault="00DF24EC" w:rsidP="00E90655">
            <w:pPr>
              <w:jc w:val="both"/>
              <w:rPr>
                <w:rFonts w:ascii="Times New Roman" w:hAnsi="Times New Roman" w:cs="Times New Roman"/>
                <w:noProof/>
              </w:rPr>
            </w:pPr>
            <w:r w:rsidRPr="004B0954">
              <w:rPr>
                <w:rFonts w:ascii="Times New Roman" w:hAnsi="Times New Roman" w:cs="Times New Roman"/>
                <w:noProof/>
              </w:rPr>
              <w:t>MOA review CoCs to ensure minmum standards</w:t>
            </w:r>
          </w:p>
          <w:p w14:paraId="2FE0701A" w14:textId="76848056" w:rsidR="00F760A8" w:rsidRPr="004B0954" w:rsidRDefault="00F760A8" w:rsidP="002F4ADE">
            <w:pPr>
              <w:spacing w:after="0"/>
              <w:jc w:val="both"/>
              <w:rPr>
                <w:rFonts w:ascii="Times New Roman" w:hAnsi="Times New Roman" w:cs="Times New Roman"/>
                <w:noProof/>
              </w:rPr>
            </w:pPr>
            <w:r w:rsidRPr="004B0954">
              <w:rPr>
                <w:rFonts w:ascii="Times New Roman" w:hAnsi="Times New Roman" w:cs="Times New Roman"/>
                <w:noProof/>
              </w:rPr>
              <w:t>(WB to share sample CoC in English/Amharic languages for quick contextualization</w:t>
            </w:r>
            <w:r w:rsidR="009A6DA5" w:rsidRPr="004B0954">
              <w:rPr>
                <w:rFonts w:ascii="Times New Roman" w:hAnsi="Times New Roman" w:cs="Times New Roman"/>
                <w:noProof/>
              </w:rPr>
              <w:t xml:space="preserve"> to this project</w:t>
            </w:r>
            <w:r w:rsidRPr="004B0954">
              <w:rPr>
                <w:rFonts w:ascii="Times New Roman" w:hAnsi="Times New Roman" w:cs="Times New Roman"/>
                <w:noProof/>
              </w:rPr>
              <w:t>)</w:t>
            </w:r>
          </w:p>
        </w:tc>
      </w:tr>
      <w:tr w:rsidR="004B0954" w:rsidRPr="004B0954" w14:paraId="0FE06F82" w14:textId="77777777" w:rsidTr="004B0954">
        <w:trPr>
          <w:trHeight w:val="206"/>
        </w:trPr>
        <w:tc>
          <w:tcPr>
            <w:tcW w:w="13680" w:type="dxa"/>
            <w:gridSpan w:val="21"/>
          </w:tcPr>
          <w:p w14:paraId="666D72F8" w14:textId="4A805B13" w:rsidR="00DF24EC" w:rsidRPr="004B0954" w:rsidRDefault="00DF24EC" w:rsidP="00486306">
            <w:pPr>
              <w:spacing w:after="0"/>
              <w:jc w:val="both"/>
              <w:rPr>
                <w:rFonts w:ascii="Times New Roman" w:hAnsi="Times New Roman" w:cs="Times New Roman"/>
                <w:b/>
                <w:i/>
                <w:noProof/>
              </w:rPr>
            </w:pPr>
            <w:r w:rsidRPr="004B0954">
              <w:rPr>
                <w:rFonts w:ascii="Times New Roman" w:hAnsi="Times New Roman" w:cs="Times New Roman"/>
                <w:b/>
                <w:i/>
                <w:noProof/>
              </w:rPr>
              <w:t xml:space="preserve">7. Separate toilet and shower facilities for men and women </w:t>
            </w:r>
            <w:r w:rsidR="00BE573E" w:rsidRPr="004B0954">
              <w:rPr>
                <w:rFonts w:ascii="Times New Roman" w:hAnsi="Times New Roman" w:cs="Times New Roman"/>
                <w:b/>
                <w:i/>
                <w:noProof/>
              </w:rPr>
              <w:t xml:space="preserve">at the three base establishment construction sites </w:t>
            </w:r>
          </w:p>
        </w:tc>
      </w:tr>
      <w:tr w:rsidR="004B0954" w:rsidRPr="004B0954" w14:paraId="0486B05D" w14:textId="77777777" w:rsidTr="004B0954">
        <w:trPr>
          <w:trHeight w:val="565"/>
        </w:trPr>
        <w:tc>
          <w:tcPr>
            <w:tcW w:w="540" w:type="dxa"/>
          </w:tcPr>
          <w:p w14:paraId="5D5135A2" w14:textId="2D9C9113" w:rsidR="00D44978" w:rsidRPr="004B0954" w:rsidRDefault="00D44978" w:rsidP="00E90655">
            <w:pPr>
              <w:jc w:val="both"/>
              <w:rPr>
                <w:rFonts w:ascii="Times New Roman" w:hAnsi="Times New Roman" w:cs="Times New Roman"/>
              </w:rPr>
            </w:pPr>
          </w:p>
          <w:p w14:paraId="302298C8" w14:textId="0F836930" w:rsidR="00DF24EC" w:rsidRPr="004B0954" w:rsidRDefault="00D44978" w:rsidP="00E90655">
            <w:pPr>
              <w:jc w:val="both"/>
              <w:rPr>
                <w:rFonts w:ascii="Times New Roman" w:hAnsi="Times New Roman" w:cs="Times New Roman"/>
              </w:rPr>
            </w:pPr>
            <w:r w:rsidRPr="004B0954">
              <w:rPr>
                <w:rFonts w:ascii="Times New Roman" w:hAnsi="Times New Roman" w:cs="Times New Roman"/>
              </w:rPr>
              <w:t>7.1</w:t>
            </w:r>
          </w:p>
        </w:tc>
        <w:tc>
          <w:tcPr>
            <w:tcW w:w="4349" w:type="dxa"/>
            <w:gridSpan w:val="3"/>
          </w:tcPr>
          <w:p w14:paraId="3A4C003B" w14:textId="6A763F72" w:rsidR="00DF24EC" w:rsidRPr="004B0954" w:rsidRDefault="009F4EAD" w:rsidP="00E90655">
            <w:pPr>
              <w:jc w:val="both"/>
              <w:rPr>
                <w:rFonts w:ascii="Times New Roman" w:hAnsi="Times New Roman" w:cs="Times New Roman"/>
              </w:rPr>
            </w:pPr>
            <w:r w:rsidRPr="004B0954">
              <w:rPr>
                <w:rFonts w:ascii="Times New Roman" w:hAnsi="Times New Roman" w:cs="Times New Roman"/>
              </w:rPr>
              <w:t xml:space="preserve">Carryout </w:t>
            </w:r>
            <w:r w:rsidR="00BE573E" w:rsidRPr="004B0954">
              <w:rPr>
                <w:rFonts w:ascii="Times New Roman" w:hAnsi="Times New Roman" w:cs="Times New Roman"/>
              </w:rPr>
              <w:t xml:space="preserve">Physical </w:t>
            </w:r>
            <w:r w:rsidR="00DF24EC" w:rsidRPr="004B0954">
              <w:rPr>
                <w:rFonts w:ascii="Times New Roman" w:hAnsi="Times New Roman" w:cs="Times New Roman"/>
              </w:rPr>
              <w:t>inspection</w:t>
            </w:r>
            <w:r w:rsidR="00BE573E" w:rsidRPr="004B0954">
              <w:rPr>
                <w:rFonts w:ascii="Times New Roman" w:hAnsi="Times New Roman" w:cs="Times New Roman"/>
              </w:rPr>
              <w:t>s</w:t>
            </w:r>
            <w:r w:rsidR="00DF24EC" w:rsidRPr="004B0954">
              <w:rPr>
                <w:rFonts w:ascii="Times New Roman" w:hAnsi="Times New Roman" w:cs="Times New Roman"/>
              </w:rPr>
              <w:t xml:space="preserve"> to verify existence</w:t>
            </w:r>
            <w:r w:rsidRPr="004B0954">
              <w:rPr>
                <w:rFonts w:ascii="Times New Roman" w:hAnsi="Times New Roman" w:cs="Times New Roman"/>
              </w:rPr>
              <w:t xml:space="preserve"> of separate facilities of toilets and showers for the sexes</w:t>
            </w:r>
          </w:p>
        </w:tc>
        <w:tc>
          <w:tcPr>
            <w:tcW w:w="1800" w:type="dxa"/>
            <w:gridSpan w:val="4"/>
          </w:tcPr>
          <w:p w14:paraId="10B1AD88" w14:textId="556CE56F" w:rsidR="00DF24EC" w:rsidRPr="004B0954" w:rsidRDefault="00D44978"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2022-2026</w:t>
            </w:r>
          </w:p>
          <w:p w14:paraId="0B5AE292" w14:textId="77777777" w:rsidR="00DF24EC" w:rsidRPr="004B0954" w:rsidRDefault="00DF24EC" w:rsidP="00E90655">
            <w:pPr>
              <w:jc w:val="both"/>
              <w:rPr>
                <w:rFonts w:ascii="Times New Roman" w:hAnsi="Times New Roman" w:cs="Times New Roman"/>
              </w:rPr>
            </w:pPr>
          </w:p>
        </w:tc>
        <w:tc>
          <w:tcPr>
            <w:tcW w:w="1710" w:type="dxa"/>
            <w:gridSpan w:val="4"/>
          </w:tcPr>
          <w:p w14:paraId="38B2BC4D" w14:textId="296882EC" w:rsidR="00DF24EC" w:rsidRPr="004B0954" w:rsidRDefault="00DF24EC" w:rsidP="00D44978">
            <w:pPr>
              <w:jc w:val="both"/>
              <w:rPr>
                <w:rFonts w:ascii="Times New Roman" w:hAnsi="Times New Roman" w:cs="Times New Roman"/>
              </w:rPr>
            </w:pPr>
            <w:r w:rsidRPr="004B0954">
              <w:rPr>
                <w:rFonts w:ascii="Times New Roman" w:hAnsi="Times New Roman" w:cs="Times New Roman"/>
              </w:rPr>
              <w:t xml:space="preserve"> </w:t>
            </w:r>
            <w:r w:rsidR="00D44978" w:rsidRPr="004B0954">
              <w:rPr>
                <w:rFonts w:ascii="Times New Roman" w:hAnsi="Times New Roman" w:cs="Times New Roman"/>
              </w:rPr>
              <w:t xml:space="preserve"> </w:t>
            </w:r>
            <w:r w:rsidR="00AC65C1" w:rsidRPr="004B0954">
              <w:rPr>
                <w:rFonts w:ascii="Times New Roman" w:hAnsi="Times New Roman" w:cs="Times New Roman"/>
              </w:rPr>
              <w:t>Federal, regional</w:t>
            </w:r>
            <w:r w:rsidR="00D44978" w:rsidRPr="004B0954">
              <w:rPr>
                <w:rFonts w:ascii="Times New Roman" w:hAnsi="Times New Roman" w:cs="Times New Roman"/>
              </w:rPr>
              <w:t xml:space="preserve"> or woreda offices of agriculture</w:t>
            </w:r>
          </w:p>
        </w:tc>
        <w:tc>
          <w:tcPr>
            <w:tcW w:w="1350" w:type="dxa"/>
            <w:gridSpan w:val="4"/>
          </w:tcPr>
          <w:p w14:paraId="3BEEB7D4" w14:textId="297352C8" w:rsidR="00DF24EC" w:rsidRPr="004B0954" w:rsidRDefault="00D44978" w:rsidP="00E90655">
            <w:pPr>
              <w:jc w:val="both"/>
              <w:rPr>
                <w:rFonts w:ascii="Times New Roman" w:hAnsi="Times New Roman" w:cs="Times New Roman"/>
              </w:rPr>
            </w:pPr>
            <w:r w:rsidRPr="004B0954">
              <w:rPr>
                <w:rFonts w:ascii="Times New Roman" w:hAnsi="Times New Roman" w:cs="Times New Roman"/>
              </w:rPr>
              <w:t>AF</w:t>
            </w:r>
          </w:p>
        </w:tc>
        <w:tc>
          <w:tcPr>
            <w:tcW w:w="2259" w:type="dxa"/>
            <w:gridSpan w:val="4"/>
          </w:tcPr>
          <w:p w14:paraId="500F2265" w14:textId="09EC680E" w:rsidR="00DF24EC" w:rsidRPr="004B0954" w:rsidRDefault="00D44978" w:rsidP="00486306">
            <w:pPr>
              <w:spacing w:after="0"/>
              <w:jc w:val="both"/>
              <w:rPr>
                <w:rFonts w:ascii="Times New Roman" w:hAnsi="Times New Roman" w:cs="Times New Roman"/>
                <w:noProof/>
              </w:rPr>
            </w:pPr>
            <w:r w:rsidRPr="004B0954">
              <w:rPr>
                <w:rFonts w:ascii="Times New Roman" w:hAnsi="Times New Roman" w:cs="Times New Roman"/>
                <w:noProof/>
              </w:rPr>
              <w:t>Agricultural offices</w:t>
            </w:r>
          </w:p>
        </w:tc>
        <w:tc>
          <w:tcPr>
            <w:tcW w:w="1672" w:type="dxa"/>
          </w:tcPr>
          <w:p w14:paraId="6FA7697C" w14:textId="77777777" w:rsidR="00DF24EC" w:rsidRPr="004B0954" w:rsidRDefault="00DF24EC" w:rsidP="00E90655">
            <w:pPr>
              <w:jc w:val="both"/>
              <w:rPr>
                <w:rFonts w:ascii="Times New Roman" w:hAnsi="Times New Roman" w:cs="Times New Roman"/>
                <w:noProof/>
              </w:rPr>
            </w:pPr>
          </w:p>
        </w:tc>
      </w:tr>
      <w:tr w:rsidR="004B0954" w:rsidRPr="004B0954" w14:paraId="0096E9E2" w14:textId="77777777" w:rsidTr="004B0954">
        <w:trPr>
          <w:trHeight w:val="565"/>
        </w:trPr>
        <w:tc>
          <w:tcPr>
            <w:tcW w:w="540" w:type="dxa"/>
          </w:tcPr>
          <w:p w14:paraId="4A1AA305" w14:textId="4D60A38C" w:rsidR="00D44978" w:rsidRPr="004B0954" w:rsidRDefault="00D44978" w:rsidP="00E90655">
            <w:pPr>
              <w:jc w:val="both"/>
              <w:rPr>
                <w:rFonts w:ascii="Times New Roman" w:hAnsi="Times New Roman" w:cs="Times New Roman"/>
              </w:rPr>
            </w:pPr>
          </w:p>
          <w:p w14:paraId="3E288C11" w14:textId="7AECDB38" w:rsidR="00DF24EC" w:rsidRPr="004B0954" w:rsidRDefault="00D44978" w:rsidP="00E90655">
            <w:pPr>
              <w:jc w:val="both"/>
              <w:rPr>
                <w:rFonts w:ascii="Times New Roman" w:hAnsi="Times New Roman" w:cs="Times New Roman"/>
              </w:rPr>
            </w:pPr>
            <w:r w:rsidRPr="004B0954">
              <w:rPr>
                <w:rFonts w:ascii="Times New Roman" w:hAnsi="Times New Roman" w:cs="Times New Roman"/>
              </w:rPr>
              <w:t>7.2</w:t>
            </w:r>
          </w:p>
        </w:tc>
        <w:tc>
          <w:tcPr>
            <w:tcW w:w="4349" w:type="dxa"/>
            <w:gridSpan w:val="3"/>
          </w:tcPr>
          <w:p w14:paraId="34924F6E" w14:textId="136F4AF8" w:rsidR="00DF24EC" w:rsidRPr="004B0954" w:rsidRDefault="00BE573E" w:rsidP="00D44978">
            <w:pPr>
              <w:jc w:val="both"/>
              <w:rPr>
                <w:rFonts w:ascii="Times New Roman" w:hAnsi="Times New Roman" w:cs="Times New Roman"/>
              </w:rPr>
            </w:pPr>
            <w:r w:rsidRPr="004B0954">
              <w:rPr>
                <w:rFonts w:ascii="Times New Roman" w:hAnsi="Times New Roman" w:cs="Times New Roman"/>
              </w:rPr>
              <w:t xml:space="preserve">Bidding </w:t>
            </w:r>
            <w:r w:rsidR="00D44978" w:rsidRPr="004B0954">
              <w:rPr>
                <w:rFonts w:ascii="Times New Roman" w:hAnsi="Times New Roman" w:cs="Times New Roman"/>
              </w:rPr>
              <w:t>documents/contract agreements</w:t>
            </w:r>
            <w:r w:rsidRPr="004B0954">
              <w:rPr>
                <w:rFonts w:ascii="Times New Roman" w:hAnsi="Times New Roman" w:cs="Times New Roman"/>
              </w:rPr>
              <w:t xml:space="preserve"> </w:t>
            </w:r>
            <w:r w:rsidR="00D44978" w:rsidRPr="004B0954">
              <w:rPr>
                <w:rFonts w:ascii="Times New Roman" w:hAnsi="Times New Roman" w:cs="Times New Roman"/>
              </w:rPr>
              <w:t xml:space="preserve">need to </w:t>
            </w:r>
            <w:r w:rsidRPr="004B0954">
              <w:rPr>
                <w:rFonts w:ascii="Times New Roman" w:hAnsi="Times New Roman" w:cs="Times New Roman"/>
              </w:rPr>
              <w:t>be prepared to include as obligatory to c</w:t>
            </w:r>
            <w:r w:rsidR="00DF24EC" w:rsidRPr="004B0954">
              <w:rPr>
                <w:rFonts w:ascii="Times New Roman" w:hAnsi="Times New Roman" w:cs="Times New Roman"/>
              </w:rPr>
              <w:t>ontractor</w:t>
            </w:r>
            <w:r w:rsidRPr="004B0954">
              <w:rPr>
                <w:rFonts w:ascii="Times New Roman" w:hAnsi="Times New Roman" w:cs="Times New Roman"/>
              </w:rPr>
              <w:t>/s</w:t>
            </w:r>
            <w:r w:rsidR="00DF24EC" w:rsidRPr="004B0954">
              <w:rPr>
                <w:rFonts w:ascii="Times New Roman" w:hAnsi="Times New Roman" w:cs="Times New Roman"/>
              </w:rPr>
              <w:t xml:space="preserve"> to ensure </w:t>
            </w:r>
            <w:r w:rsidR="00D44978" w:rsidRPr="004B0954">
              <w:rPr>
                <w:rFonts w:ascii="Times New Roman" w:hAnsi="Times New Roman" w:cs="Times New Roman"/>
              </w:rPr>
              <w:t xml:space="preserve">availabilities of </w:t>
            </w:r>
            <w:r w:rsidR="00DF24EC" w:rsidRPr="004B0954">
              <w:rPr>
                <w:rFonts w:ascii="Times New Roman" w:hAnsi="Times New Roman" w:cs="Times New Roman"/>
              </w:rPr>
              <w:t xml:space="preserve">separate shower and toilet facilities </w:t>
            </w:r>
          </w:p>
        </w:tc>
        <w:tc>
          <w:tcPr>
            <w:tcW w:w="1800" w:type="dxa"/>
            <w:gridSpan w:val="4"/>
          </w:tcPr>
          <w:p w14:paraId="6BFDEDF9" w14:textId="2F9BCA10" w:rsidR="00DF24EC" w:rsidRPr="004B0954" w:rsidRDefault="00D44978"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2022-2026</w:t>
            </w:r>
          </w:p>
          <w:p w14:paraId="079F6072" w14:textId="77777777" w:rsidR="00DF24EC" w:rsidRPr="004B0954" w:rsidRDefault="00DF24EC" w:rsidP="00E90655">
            <w:pPr>
              <w:jc w:val="both"/>
              <w:rPr>
                <w:rFonts w:ascii="Times New Roman" w:hAnsi="Times New Roman" w:cs="Times New Roman"/>
              </w:rPr>
            </w:pPr>
          </w:p>
        </w:tc>
        <w:tc>
          <w:tcPr>
            <w:tcW w:w="1710" w:type="dxa"/>
            <w:gridSpan w:val="4"/>
          </w:tcPr>
          <w:p w14:paraId="0843B9FA" w14:textId="06A3839C" w:rsidR="00DF24EC" w:rsidRPr="004B0954" w:rsidRDefault="00D44978"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MOA</w:t>
            </w:r>
          </w:p>
          <w:p w14:paraId="29426704" w14:textId="77777777" w:rsidR="00DF24EC" w:rsidRPr="004B0954" w:rsidRDefault="00DF24EC" w:rsidP="00E90655">
            <w:pPr>
              <w:jc w:val="both"/>
              <w:rPr>
                <w:rFonts w:ascii="Times New Roman" w:hAnsi="Times New Roman" w:cs="Times New Roman"/>
              </w:rPr>
            </w:pPr>
          </w:p>
        </w:tc>
        <w:tc>
          <w:tcPr>
            <w:tcW w:w="1350" w:type="dxa"/>
            <w:gridSpan w:val="4"/>
          </w:tcPr>
          <w:p w14:paraId="7376CAF5" w14:textId="7CF3E5D6" w:rsidR="00DF24EC" w:rsidRPr="004B0954" w:rsidRDefault="00D44978" w:rsidP="00E90655">
            <w:pPr>
              <w:jc w:val="both"/>
              <w:rPr>
                <w:rFonts w:ascii="Times New Roman" w:hAnsi="Times New Roman" w:cs="Times New Roman"/>
              </w:rPr>
            </w:pPr>
            <w:r w:rsidRPr="004B0954">
              <w:rPr>
                <w:rFonts w:ascii="Times New Roman" w:hAnsi="Times New Roman" w:cs="Times New Roman"/>
              </w:rPr>
              <w:t>AF</w:t>
            </w:r>
          </w:p>
        </w:tc>
        <w:tc>
          <w:tcPr>
            <w:tcW w:w="2259" w:type="dxa"/>
            <w:gridSpan w:val="4"/>
          </w:tcPr>
          <w:p w14:paraId="6E44BCF8" w14:textId="30641E26" w:rsidR="00DF24EC" w:rsidRPr="004B0954" w:rsidRDefault="00D44978" w:rsidP="00CD1C40">
            <w:pPr>
              <w:jc w:val="both"/>
              <w:rPr>
                <w:rFonts w:ascii="Times New Roman" w:hAnsi="Times New Roman" w:cs="Times New Roman"/>
                <w:noProof/>
              </w:rPr>
            </w:pPr>
            <w:r w:rsidRPr="004B0954">
              <w:rPr>
                <w:rFonts w:ascii="Times New Roman" w:hAnsi="Times New Roman" w:cs="Times New Roman"/>
                <w:noProof/>
              </w:rPr>
              <w:t>Offices of agriculture</w:t>
            </w:r>
          </w:p>
        </w:tc>
        <w:tc>
          <w:tcPr>
            <w:tcW w:w="1672" w:type="dxa"/>
          </w:tcPr>
          <w:p w14:paraId="5E1256C0" w14:textId="2E665A19" w:rsidR="00DF24EC" w:rsidRPr="004B0954" w:rsidRDefault="001D5791" w:rsidP="00E90655">
            <w:pPr>
              <w:jc w:val="both"/>
              <w:rPr>
                <w:rFonts w:ascii="Times New Roman" w:hAnsi="Times New Roman" w:cs="Times New Roman"/>
                <w:noProof/>
              </w:rPr>
            </w:pPr>
            <w:r w:rsidRPr="004B0954">
              <w:rPr>
                <w:rFonts w:ascii="Times New Roman" w:hAnsi="Times New Roman" w:cs="Times New Roman"/>
                <w:noProof/>
              </w:rPr>
              <w:t xml:space="preserve"> </w:t>
            </w:r>
          </w:p>
        </w:tc>
      </w:tr>
      <w:tr w:rsidR="004B0954" w:rsidRPr="004B0954" w14:paraId="5DECA1B3" w14:textId="77777777" w:rsidTr="004B0954">
        <w:trPr>
          <w:trHeight w:val="565"/>
        </w:trPr>
        <w:tc>
          <w:tcPr>
            <w:tcW w:w="540" w:type="dxa"/>
          </w:tcPr>
          <w:p w14:paraId="37FA7EC7" w14:textId="536604D1" w:rsidR="00D44978" w:rsidRPr="004B0954" w:rsidRDefault="00D44978" w:rsidP="00E90655">
            <w:pPr>
              <w:jc w:val="both"/>
              <w:rPr>
                <w:rFonts w:ascii="Times New Roman" w:hAnsi="Times New Roman" w:cs="Times New Roman"/>
              </w:rPr>
            </w:pPr>
            <w:r w:rsidRPr="004B0954">
              <w:rPr>
                <w:rFonts w:ascii="Times New Roman" w:hAnsi="Times New Roman" w:cs="Times New Roman"/>
              </w:rPr>
              <w:t>7.3</w:t>
            </w:r>
          </w:p>
        </w:tc>
        <w:tc>
          <w:tcPr>
            <w:tcW w:w="4349" w:type="dxa"/>
            <w:gridSpan w:val="3"/>
          </w:tcPr>
          <w:p w14:paraId="1FDE5CDB" w14:textId="718D0481" w:rsidR="00D44978" w:rsidRPr="004B0954" w:rsidRDefault="00D44978" w:rsidP="00D44978">
            <w:pPr>
              <w:jc w:val="both"/>
              <w:rPr>
                <w:rFonts w:ascii="Times New Roman" w:hAnsi="Times New Roman" w:cs="Times New Roman"/>
              </w:rPr>
            </w:pPr>
            <w:r w:rsidRPr="004B0954">
              <w:rPr>
                <w:rFonts w:ascii="Times New Roman" w:hAnsi="Times New Roman" w:cs="Times New Roman"/>
              </w:rPr>
              <w:t>Organize separate clothing rooms for the sexes</w:t>
            </w:r>
          </w:p>
        </w:tc>
        <w:tc>
          <w:tcPr>
            <w:tcW w:w="1800" w:type="dxa"/>
            <w:gridSpan w:val="4"/>
          </w:tcPr>
          <w:p w14:paraId="309CF8C1" w14:textId="14FF3875" w:rsidR="00D44978" w:rsidRPr="004B0954" w:rsidDel="00D44978" w:rsidRDefault="00D44978"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2022-2026</w:t>
            </w:r>
          </w:p>
        </w:tc>
        <w:tc>
          <w:tcPr>
            <w:tcW w:w="1710" w:type="dxa"/>
            <w:gridSpan w:val="4"/>
          </w:tcPr>
          <w:p w14:paraId="10FFCAA0" w14:textId="7609E78F" w:rsidR="00D44978" w:rsidRPr="004B0954" w:rsidDel="00D44978" w:rsidRDefault="00D44978" w:rsidP="00E90655">
            <w:pPr>
              <w:pStyle w:val="Default"/>
              <w:jc w:val="both"/>
              <w:rPr>
                <w:rFonts w:ascii="Times New Roman" w:hAnsi="Times New Roman" w:cs="Times New Roman"/>
                <w:color w:val="auto"/>
                <w:sz w:val="22"/>
                <w:szCs w:val="22"/>
              </w:rPr>
            </w:pPr>
            <w:r w:rsidRPr="004B0954">
              <w:rPr>
                <w:rFonts w:ascii="Times New Roman" w:hAnsi="Times New Roman" w:cs="Times New Roman"/>
                <w:color w:val="auto"/>
                <w:sz w:val="22"/>
                <w:szCs w:val="22"/>
              </w:rPr>
              <w:t>Contractors</w:t>
            </w:r>
          </w:p>
        </w:tc>
        <w:tc>
          <w:tcPr>
            <w:tcW w:w="1350" w:type="dxa"/>
            <w:gridSpan w:val="4"/>
          </w:tcPr>
          <w:p w14:paraId="400D0CAE" w14:textId="2C07CBAC" w:rsidR="00D44978" w:rsidRPr="004B0954" w:rsidDel="00D44978" w:rsidRDefault="00D44978" w:rsidP="00E90655">
            <w:pPr>
              <w:jc w:val="both"/>
              <w:rPr>
                <w:rFonts w:ascii="Times New Roman" w:hAnsi="Times New Roman" w:cs="Times New Roman"/>
              </w:rPr>
            </w:pPr>
            <w:r w:rsidRPr="004B0954">
              <w:rPr>
                <w:rFonts w:ascii="Times New Roman" w:hAnsi="Times New Roman" w:cs="Times New Roman"/>
              </w:rPr>
              <w:t>Contractor</w:t>
            </w:r>
          </w:p>
        </w:tc>
        <w:tc>
          <w:tcPr>
            <w:tcW w:w="2259" w:type="dxa"/>
            <w:gridSpan w:val="4"/>
          </w:tcPr>
          <w:p w14:paraId="4FAC3DA9" w14:textId="59F7AD92" w:rsidR="00D44978" w:rsidRPr="004B0954" w:rsidDel="00D44978" w:rsidRDefault="00D44978" w:rsidP="00CD1C40">
            <w:pPr>
              <w:jc w:val="both"/>
              <w:rPr>
                <w:rFonts w:ascii="Times New Roman" w:hAnsi="Times New Roman" w:cs="Times New Roman"/>
                <w:noProof/>
              </w:rPr>
            </w:pPr>
            <w:r w:rsidRPr="004B0954">
              <w:rPr>
                <w:rFonts w:ascii="Times New Roman" w:hAnsi="Times New Roman" w:cs="Times New Roman"/>
                <w:noProof/>
              </w:rPr>
              <w:t>Contractor/regional/woreda office of Agriculture</w:t>
            </w:r>
          </w:p>
        </w:tc>
        <w:tc>
          <w:tcPr>
            <w:tcW w:w="1672" w:type="dxa"/>
          </w:tcPr>
          <w:p w14:paraId="1DC65D0E" w14:textId="77777777" w:rsidR="00D44978" w:rsidRPr="004B0954" w:rsidRDefault="00D44978" w:rsidP="00E90655">
            <w:pPr>
              <w:jc w:val="both"/>
              <w:rPr>
                <w:rFonts w:ascii="Times New Roman" w:hAnsi="Times New Roman" w:cs="Times New Roman"/>
                <w:noProof/>
              </w:rPr>
            </w:pPr>
          </w:p>
        </w:tc>
      </w:tr>
    </w:tbl>
    <w:p w14:paraId="38972652" w14:textId="77777777" w:rsidR="00DF24EC" w:rsidRPr="004B0954" w:rsidRDefault="00DF24EC" w:rsidP="00DF24EC">
      <w:pPr>
        <w:jc w:val="both"/>
        <w:rPr>
          <w:rFonts w:ascii="Times New Roman" w:hAnsi="Times New Roman" w:cs="Times New Roman"/>
        </w:rPr>
      </w:pPr>
    </w:p>
    <w:p w14:paraId="19A5D981" w14:textId="77777777" w:rsidR="0088628C" w:rsidRPr="004B0954" w:rsidRDefault="0088628C">
      <w:pPr>
        <w:rPr>
          <w:rFonts w:ascii="Times New Roman" w:hAnsi="Times New Roman" w:cs="Times New Roman"/>
        </w:rPr>
      </w:pPr>
    </w:p>
    <w:sectPr w:rsidR="0088628C" w:rsidRPr="004B0954" w:rsidSect="00105F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F3F26" w14:textId="77777777" w:rsidR="0001669A" w:rsidRDefault="0001669A" w:rsidP="0024003B">
      <w:pPr>
        <w:spacing w:after="0" w:line="240" w:lineRule="auto"/>
      </w:pPr>
      <w:r>
        <w:separator/>
      </w:r>
    </w:p>
  </w:endnote>
  <w:endnote w:type="continuationSeparator" w:id="0">
    <w:p w14:paraId="4364AE45" w14:textId="77777777" w:rsidR="0001669A" w:rsidRDefault="0001669A" w:rsidP="0024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22541"/>
      <w:docPartObj>
        <w:docPartGallery w:val="Page Numbers (Bottom of Page)"/>
        <w:docPartUnique/>
      </w:docPartObj>
    </w:sdtPr>
    <w:sdtEndPr>
      <w:rPr>
        <w:color w:val="7F7F7F" w:themeColor="background1" w:themeShade="7F"/>
        <w:spacing w:val="60"/>
      </w:rPr>
    </w:sdtEndPr>
    <w:sdtContent>
      <w:p w14:paraId="4BCDC7D2" w14:textId="15A423E4" w:rsidR="003476C9" w:rsidRDefault="003476C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1669A" w:rsidRPr="0001669A">
          <w:rPr>
            <w:b/>
            <w:bCs/>
            <w:noProof/>
          </w:rPr>
          <w:t>1</w:t>
        </w:r>
        <w:r>
          <w:rPr>
            <w:b/>
            <w:bCs/>
            <w:noProof/>
          </w:rPr>
          <w:fldChar w:fldCharType="end"/>
        </w:r>
        <w:r>
          <w:rPr>
            <w:b/>
            <w:bCs/>
          </w:rPr>
          <w:t xml:space="preserve"> | </w:t>
        </w:r>
        <w:r>
          <w:rPr>
            <w:color w:val="7F7F7F" w:themeColor="background1" w:themeShade="7F"/>
            <w:spacing w:val="60"/>
          </w:rPr>
          <w:t>Page</w:t>
        </w:r>
      </w:p>
    </w:sdtContent>
  </w:sdt>
  <w:p w14:paraId="30778E5E" w14:textId="77777777" w:rsidR="003476C9" w:rsidRDefault="00347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84C6F" w14:textId="77777777" w:rsidR="0001669A" w:rsidRDefault="0001669A" w:rsidP="0024003B">
      <w:pPr>
        <w:spacing w:after="0" w:line="240" w:lineRule="auto"/>
      </w:pPr>
      <w:r>
        <w:separator/>
      </w:r>
    </w:p>
  </w:footnote>
  <w:footnote w:type="continuationSeparator" w:id="0">
    <w:p w14:paraId="29CBD209" w14:textId="77777777" w:rsidR="0001669A" w:rsidRDefault="0001669A" w:rsidP="0024003B">
      <w:pPr>
        <w:spacing w:after="0" w:line="240" w:lineRule="auto"/>
      </w:pPr>
      <w:r>
        <w:continuationSeparator/>
      </w:r>
    </w:p>
  </w:footnote>
  <w:footnote w:id="1">
    <w:p w14:paraId="591AA04E" w14:textId="028BEDEA" w:rsidR="003476C9" w:rsidRPr="004D20B2" w:rsidRDefault="003476C9" w:rsidP="006E0728">
      <w:pPr>
        <w:pStyle w:val="CommentText"/>
        <w:rPr>
          <w:rFonts w:ascii="Times New Roman" w:hAnsi="Times New Roman" w:cs="Times New Roman"/>
        </w:rPr>
      </w:pPr>
      <w:r w:rsidRPr="004D20B2">
        <w:rPr>
          <w:rStyle w:val="FootnoteReference"/>
          <w:rFonts w:ascii="Times New Roman" w:hAnsi="Times New Roman" w:cs="Times New Roman"/>
        </w:rPr>
        <w:footnoteRef/>
      </w:r>
      <w:r w:rsidRPr="004D20B2">
        <w:rPr>
          <w:rFonts w:ascii="Times New Roman" w:hAnsi="Times New Roman" w:cs="Times New Roman"/>
        </w:rPr>
        <w:t xml:space="preserve"> The implementing entity should focus on establishing referral pathway and training/orienting service providers/key stakeholders at least on the guiding principles. </w:t>
      </w:r>
    </w:p>
    <w:p w14:paraId="39C9824A" w14:textId="6D84B44A" w:rsidR="003476C9" w:rsidRDefault="003476C9">
      <w:pPr>
        <w:pStyle w:val="FootnoteText"/>
      </w:pPr>
    </w:p>
  </w:footnote>
  <w:footnote w:id="2">
    <w:p w14:paraId="75DE9F96" w14:textId="3070E731" w:rsidR="003476C9" w:rsidRPr="00D67D65" w:rsidRDefault="003476C9">
      <w:pPr>
        <w:pStyle w:val="FootnoteText"/>
      </w:pPr>
      <w:r w:rsidRPr="00D67D65">
        <w:rPr>
          <w:rStyle w:val="FootnoteReference"/>
        </w:rPr>
        <w:footnoteRef/>
      </w:r>
      <w:r w:rsidRPr="00D67D65">
        <w:t xml:space="preserve">  </w:t>
      </w:r>
      <w:r w:rsidRPr="00D67D65">
        <w:rPr>
          <w:rFonts w:ascii="Times New Roman" w:hAnsi="Times New Roman" w:cs="Times New Roman"/>
          <w:bCs/>
        </w:rPr>
        <w:t>DBV/SEA/SH service providers to which such cases will be reffred to include, bt not limited to police, courts, health facilities and counseling centers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4A850"/>
    <w:multiLevelType w:val="hybridMultilevel"/>
    <w:tmpl w:val="A60A366A"/>
    <w:lvl w:ilvl="0" w:tplc="FFFFFFFF">
      <w:start w:val="1"/>
      <w:numFmt w:val="ideographDigital"/>
      <w:lvlText w:val=""/>
      <w:lvlJc w:val="left"/>
    </w:lvl>
    <w:lvl w:ilvl="1" w:tplc="04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6423FC"/>
    <w:multiLevelType w:val="hybridMultilevel"/>
    <w:tmpl w:val="BE80C1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85441"/>
    <w:multiLevelType w:val="hybridMultilevel"/>
    <w:tmpl w:val="AD288AEE"/>
    <w:lvl w:ilvl="0" w:tplc="FC004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E3C21"/>
    <w:multiLevelType w:val="hybridMultilevel"/>
    <w:tmpl w:val="99BE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46743"/>
    <w:multiLevelType w:val="hybridMultilevel"/>
    <w:tmpl w:val="86E4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C007A"/>
    <w:multiLevelType w:val="hybridMultilevel"/>
    <w:tmpl w:val="D3BA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CB1833"/>
    <w:multiLevelType w:val="hybridMultilevel"/>
    <w:tmpl w:val="CE3A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9E3AF7"/>
    <w:multiLevelType w:val="hybridMultilevel"/>
    <w:tmpl w:val="C14C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243D7"/>
    <w:multiLevelType w:val="hybridMultilevel"/>
    <w:tmpl w:val="E45A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F53D78"/>
    <w:multiLevelType w:val="hybridMultilevel"/>
    <w:tmpl w:val="B3B6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05AE8"/>
    <w:multiLevelType w:val="hybridMultilevel"/>
    <w:tmpl w:val="A378B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6B85100">
      <w:start w:val="1"/>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1"/>
  </w:num>
  <w:num w:numId="6">
    <w:abstractNumId w:val="10"/>
  </w:num>
  <w:num w:numId="7">
    <w:abstractNumId w:val="5"/>
  </w:num>
  <w:num w:numId="8">
    <w:abstractNumId w:val="7"/>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EC"/>
    <w:rsid w:val="00001F13"/>
    <w:rsid w:val="000028A9"/>
    <w:rsid w:val="00007633"/>
    <w:rsid w:val="0001669A"/>
    <w:rsid w:val="00017A81"/>
    <w:rsid w:val="00023625"/>
    <w:rsid w:val="00040A5A"/>
    <w:rsid w:val="00041133"/>
    <w:rsid w:val="0004618B"/>
    <w:rsid w:val="0005304C"/>
    <w:rsid w:val="000704FF"/>
    <w:rsid w:val="000763AD"/>
    <w:rsid w:val="000779CE"/>
    <w:rsid w:val="000937E9"/>
    <w:rsid w:val="000D1A50"/>
    <w:rsid w:val="000D441E"/>
    <w:rsid w:val="000E7198"/>
    <w:rsid w:val="00103A94"/>
    <w:rsid w:val="00104A86"/>
    <w:rsid w:val="00105F30"/>
    <w:rsid w:val="00111433"/>
    <w:rsid w:val="00122DA7"/>
    <w:rsid w:val="00126B26"/>
    <w:rsid w:val="0014113E"/>
    <w:rsid w:val="00166FC2"/>
    <w:rsid w:val="001828CB"/>
    <w:rsid w:val="001868EA"/>
    <w:rsid w:val="001B001F"/>
    <w:rsid w:val="001D196E"/>
    <w:rsid w:val="001D5791"/>
    <w:rsid w:val="001E51A9"/>
    <w:rsid w:val="001E60D2"/>
    <w:rsid w:val="001F4B4C"/>
    <w:rsid w:val="00206C05"/>
    <w:rsid w:val="002243A7"/>
    <w:rsid w:val="002248E6"/>
    <w:rsid w:val="0024003B"/>
    <w:rsid w:val="002462BD"/>
    <w:rsid w:val="00251A46"/>
    <w:rsid w:val="00257FE1"/>
    <w:rsid w:val="00261D85"/>
    <w:rsid w:val="002627A7"/>
    <w:rsid w:val="00264D6D"/>
    <w:rsid w:val="00264ED8"/>
    <w:rsid w:val="00267748"/>
    <w:rsid w:val="002845E8"/>
    <w:rsid w:val="002846A1"/>
    <w:rsid w:val="002B06B9"/>
    <w:rsid w:val="002B0CB5"/>
    <w:rsid w:val="002E3260"/>
    <w:rsid w:val="002F336B"/>
    <w:rsid w:val="002F4ADE"/>
    <w:rsid w:val="002F5D28"/>
    <w:rsid w:val="00345721"/>
    <w:rsid w:val="003476C9"/>
    <w:rsid w:val="00350EE1"/>
    <w:rsid w:val="00354450"/>
    <w:rsid w:val="00354DFE"/>
    <w:rsid w:val="00361B44"/>
    <w:rsid w:val="00366F64"/>
    <w:rsid w:val="00386C61"/>
    <w:rsid w:val="00394C0C"/>
    <w:rsid w:val="003C3D62"/>
    <w:rsid w:val="003D046B"/>
    <w:rsid w:val="003F4DBC"/>
    <w:rsid w:val="00401BF2"/>
    <w:rsid w:val="004226EE"/>
    <w:rsid w:val="0045061E"/>
    <w:rsid w:val="00462921"/>
    <w:rsid w:val="00464DD3"/>
    <w:rsid w:val="00471428"/>
    <w:rsid w:val="00474594"/>
    <w:rsid w:val="0048088F"/>
    <w:rsid w:val="00480D5A"/>
    <w:rsid w:val="00486306"/>
    <w:rsid w:val="004A2C4F"/>
    <w:rsid w:val="004B0954"/>
    <w:rsid w:val="004B2DB5"/>
    <w:rsid w:val="004B6727"/>
    <w:rsid w:val="004C6DB2"/>
    <w:rsid w:val="004D20B2"/>
    <w:rsid w:val="004D4F1D"/>
    <w:rsid w:val="004E4FC4"/>
    <w:rsid w:val="004F4C2D"/>
    <w:rsid w:val="00507967"/>
    <w:rsid w:val="0052750C"/>
    <w:rsid w:val="00534FFA"/>
    <w:rsid w:val="005403FF"/>
    <w:rsid w:val="00546E4B"/>
    <w:rsid w:val="0055110E"/>
    <w:rsid w:val="00555E11"/>
    <w:rsid w:val="00574FE8"/>
    <w:rsid w:val="005808D2"/>
    <w:rsid w:val="005908C4"/>
    <w:rsid w:val="005A0C4C"/>
    <w:rsid w:val="005A2074"/>
    <w:rsid w:val="005A2FC6"/>
    <w:rsid w:val="005A601B"/>
    <w:rsid w:val="005C5080"/>
    <w:rsid w:val="005D1FA0"/>
    <w:rsid w:val="005D35FF"/>
    <w:rsid w:val="005D3969"/>
    <w:rsid w:val="005F0842"/>
    <w:rsid w:val="005F2FF1"/>
    <w:rsid w:val="00612C72"/>
    <w:rsid w:val="006137F3"/>
    <w:rsid w:val="0062581F"/>
    <w:rsid w:val="0064749F"/>
    <w:rsid w:val="00661397"/>
    <w:rsid w:val="0066170D"/>
    <w:rsid w:val="00672B77"/>
    <w:rsid w:val="00674272"/>
    <w:rsid w:val="00680868"/>
    <w:rsid w:val="006816DC"/>
    <w:rsid w:val="006918FA"/>
    <w:rsid w:val="00691CD2"/>
    <w:rsid w:val="00691DE1"/>
    <w:rsid w:val="006B3DDB"/>
    <w:rsid w:val="006B4C25"/>
    <w:rsid w:val="006C7169"/>
    <w:rsid w:val="006D5713"/>
    <w:rsid w:val="006D793A"/>
    <w:rsid w:val="006E0728"/>
    <w:rsid w:val="006E128E"/>
    <w:rsid w:val="006E4BF6"/>
    <w:rsid w:val="006F5212"/>
    <w:rsid w:val="006F55A6"/>
    <w:rsid w:val="007108CC"/>
    <w:rsid w:val="00711B70"/>
    <w:rsid w:val="00712DBB"/>
    <w:rsid w:val="00736507"/>
    <w:rsid w:val="00763617"/>
    <w:rsid w:val="00764E5C"/>
    <w:rsid w:val="0076597D"/>
    <w:rsid w:val="00765B8E"/>
    <w:rsid w:val="007968A7"/>
    <w:rsid w:val="007C3EC6"/>
    <w:rsid w:val="007D20E3"/>
    <w:rsid w:val="007D6B49"/>
    <w:rsid w:val="007E1196"/>
    <w:rsid w:val="007E2F3E"/>
    <w:rsid w:val="007F275C"/>
    <w:rsid w:val="00810B9F"/>
    <w:rsid w:val="00827BFA"/>
    <w:rsid w:val="0084608B"/>
    <w:rsid w:val="00857BE5"/>
    <w:rsid w:val="008712CE"/>
    <w:rsid w:val="00872B12"/>
    <w:rsid w:val="00880670"/>
    <w:rsid w:val="008809F3"/>
    <w:rsid w:val="008836D8"/>
    <w:rsid w:val="0088628C"/>
    <w:rsid w:val="008A797E"/>
    <w:rsid w:val="008B7D95"/>
    <w:rsid w:val="008D6D2A"/>
    <w:rsid w:val="008E45DA"/>
    <w:rsid w:val="008E45F1"/>
    <w:rsid w:val="008F4CBE"/>
    <w:rsid w:val="0092751A"/>
    <w:rsid w:val="00933984"/>
    <w:rsid w:val="00933B80"/>
    <w:rsid w:val="00937837"/>
    <w:rsid w:val="009438D6"/>
    <w:rsid w:val="00997295"/>
    <w:rsid w:val="009A6DA5"/>
    <w:rsid w:val="009B724B"/>
    <w:rsid w:val="009D587D"/>
    <w:rsid w:val="009E49D6"/>
    <w:rsid w:val="009F4B76"/>
    <w:rsid w:val="009F4EAD"/>
    <w:rsid w:val="00A11DA8"/>
    <w:rsid w:val="00A14901"/>
    <w:rsid w:val="00A17460"/>
    <w:rsid w:val="00A21E16"/>
    <w:rsid w:val="00A45C3B"/>
    <w:rsid w:val="00A467BA"/>
    <w:rsid w:val="00A559A6"/>
    <w:rsid w:val="00A63368"/>
    <w:rsid w:val="00A6514F"/>
    <w:rsid w:val="00A87A70"/>
    <w:rsid w:val="00AA2066"/>
    <w:rsid w:val="00AA5063"/>
    <w:rsid w:val="00AB016C"/>
    <w:rsid w:val="00AB6F3C"/>
    <w:rsid w:val="00AC65C1"/>
    <w:rsid w:val="00AD093D"/>
    <w:rsid w:val="00AD1248"/>
    <w:rsid w:val="00AE1396"/>
    <w:rsid w:val="00AF0EC2"/>
    <w:rsid w:val="00AF411D"/>
    <w:rsid w:val="00B01CCC"/>
    <w:rsid w:val="00B26112"/>
    <w:rsid w:val="00B36E87"/>
    <w:rsid w:val="00B70326"/>
    <w:rsid w:val="00B737ED"/>
    <w:rsid w:val="00B76C3D"/>
    <w:rsid w:val="00B94087"/>
    <w:rsid w:val="00BA0C87"/>
    <w:rsid w:val="00BC4346"/>
    <w:rsid w:val="00BD0E56"/>
    <w:rsid w:val="00BE3CD2"/>
    <w:rsid w:val="00BE4B21"/>
    <w:rsid w:val="00BE573E"/>
    <w:rsid w:val="00BF5955"/>
    <w:rsid w:val="00C128D5"/>
    <w:rsid w:val="00C177FE"/>
    <w:rsid w:val="00C202E1"/>
    <w:rsid w:val="00C31427"/>
    <w:rsid w:val="00C4338C"/>
    <w:rsid w:val="00C503E9"/>
    <w:rsid w:val="00C52D96"/>
    <w:rsid w:val="00C55475"/>
    <w:rsid w:val="00C654A6"/>
    <w:rsid w:val="00C755BF"/>
    <w:rsid w:val="00C77FCD"/>
    <w:rsid w:val="00C80A6F"/>
    <w:rsid w:val="00CA1B33"/>
    <w:rsid w:val="00CC0B0E"/>
    <w:rsid w:val="00CC6CF5"/>
    <w:rsid w:val="00CD1C40"/>
    <w:rsid w:val="00CD51DB"/>
    <w:rsid w:val="00D211A9"/>
    <w:rsid w:val="00D2450F"/>
    <w:rsid w:val="00D41554"/>
    <w:rsid w:val="00D44978"/>
    <w:rsid w:val="00D53310"/>
    <w:rsid w:val="00D64F6E"/>
    <w:rsid w:val="00D669A1"/>
    <w:rsid w:val="00D67D65"/>
    <w:rsid w:val="00D76F3E"/>
    <w:rsid w:val="00D77BF8"/>
    <w:rsid w:val="00DA621A"/>
    <w:rsid w:val="00DB65D4"/>
    <w:rsid w:val="00DC31F8"/>
    <w:rsid w:val="00DC34E8"/>
    <w:rsid w:val="00DC59C0"/>
    <w:rsid w:val="00DD734C"/>
    <w:rsid w:val="00DD7B55"/>
    <w:rsid w:val="00DF0F9D"/>
    <w:rsid w:val="00DF24EC"/>
    <w:rsid w:val="00DF42BF"/>
    <w:rsid w:val="00DF5F19"/>
    <w:rsid w:val="00E02E81"/>
    <w:rsid w:val="00E23A97"/>
    <w:rsid w:val="00E26560"/>
    <w:rsid w:val="00E4236E"/>
    <w:rsid w:val="00E46AD6"/>
    <w:rsid w:val="00E5170D"/>
    <w:rsid w:val="00E643B4"/>
    <w:rsid w:val="00E7208A"/>
    <w:rsid w:val="00E82B0D"/>
    <w:rsid w:val="00E865AB"/>
    <w:rsid w:val="00E868A8"/>
    <w:rsid w:val="00E90655"/>
    <w:rsid w:val="00E96E76"/>
    <w:rsid w:val="00EB1474"/>
    <w:rsid w:val="00EB467A"/>
    <w:rsid w:val="00ED23E2"/>
    <w:rsid w:val="00ED3084"/>
    <w:rsid w:val="00EE0F62"/>
    <w:rsid w:val="00EE19E6"/>
    <w:rsid w:val="00F12A67"/>
    <w:rsid w:val="00F1480B"/>
    <w:rsid w:val="00F2471C"/>
    <w:rsid w:val="00F254E3"/>
    <w:rsid w:val="00F33ECB"/>
    <w:rsid w:val="00F404EF"/>
    <w:rsid w:val="00F472F4"/>
    <w:rsid w:val="00F760A8"/>
    <w:rsid w:val="00F826ED"/>
    <w:rsid w:val="00F912FB"/>
    <w:rsid w:val="00F972F1"/>
    <w:rsid w:val="00FC3EED"/>
    <w:rsid w:val="00FC5780"/>
    <w:rsid w:val="00FD0923"/>
    <w:rsid w:val="00FD423D"/>
    <w:rsid w:val="00FE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EC"/>
    <w:pPr>
      <w:spacing w:after="160" w:line="259" w:lineRule="auto"/>
    </w:pPr>
  </w:style>
  <w:style w:type="paragraph" w:styleId="Heading1">
    <w:name w:val="heading 1"/>
    <w:basedOn w:val="Normal"/>
    <w:next w:val="Normal"/>
    <w:link w:val="Heading1Char"/>
    <w:uiPriority w:val="9"/>
    <w:qFormat/>
    <w:rsid w:val="00DF24EC"/>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2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4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F24EC"/>
    <w:rPr>
      <w:rFonts w:asciiTheme="majorHAnsi" w:eastAsiaTheme="majorEastAsia" w:hAnsiTheme="majorHAnsi" w:cstheme="majorBidi"/>
      <w:color w:val="365F91" w:themeColor="accent1" w:themeShade="BF"/>
      <w:sz w:val="26"/>
      <w:szCs w:val="26"/>
    </w:rPr>
  </w:style>
  <w:style w:type="paragraph" w:styleId="FootnoteText">
    <w:name w:val="footnote text"/>
    <w:aliases w:val="FOOTNOTES,Footnote Text Char Char Char Char,Footnote Text Char Char Char1,Footnote Text Char Char1 Char,Footnote Text Char Char2,Footnote Text Char1 Char Char,Footnote Text Char1 Char1,Footnote Text Char2,f,fn,footnote text,ft,single space"/>
    <w:basedOn w:val="Normal"/>
    <w:link w:val="FootnoteTextChar"/>
    <w:unhideWhenUsed/>
    <w:qFormat/>
    <w:rsid w:val="00DF24EC"/>
    <w:pPr>
      <w:spacing w:after="0" w:line="240" w:lineRule="auto"/>
    </w:pPr>
    <w:rPr>
      <w:sz w:val="18"/>
      <w:szCs w:val="20"/>
    </w:rPr>
  </w:style>
  <w:style w:type="character" w:customStyle="1" w:styleId="FootnoteTextChar">
    <w:name w:val="Footnote Text Char"/>
    <w:aliases w:val="FOOTNOTES Char,Footnote Text Char Char Char Char Char,Footnote Text Char Char Char1 Char,Footnote Text Char Char1 Char Char,Footnote Text Char Char2 Char,Footnote Text Char1 Char Char Char,Footnote Text Char1 Char1 Char,f Char,fn Char"/>
    <w:basedOn w:val="DefaultParagraphFont"/>
    <w:link w:val="FootnoteText"/>
    <w:rsid w:val="00DF24EC"/>
    <w:rPr>
      <w:sz w:val="18"/>
      <w:szCs w:val="20"/>
    </w:rPr>
  </w:style>
  <w:style w:type="paragraph" w:styleId="ListParagraph">
    <w:name w:val="List Paragraph"/>
    <w:aliases w:val="Citation List,본문(내용),List Paragraph (numbered (a)),Colorful List - Accent 11,Bullets,List Bulet,List Paragraph 1,List Paragraph1,List_Paragraph,Multilevel para_II,NUMBERED PARAGRAPH,Normal List,Numbered List Paragraph,References,lp1"/>
    <w:basedOn w:val="Normal"/>
    <w:link w:val="ListParagraphChar"/>
    <w:qFormat/>
    <w:rsid w:val="00DF24EC"/>
    <w:pPr>
      <w:spacing w:after="0" w:line="240" w:lineRule="auto"/>
      <w:ind w:left="720"/>
      <w:contextualSpacing/>
    </w:pPr>
    <w:rPr>
      <w:sz w:val="20"/>
      <w:szCs w:val="24"/>
    </w:rPr>
  </w:style>
  <w:style w:type="character" w:customStyle="1" w:styleId="ListParagraphChar">
    <w:name w:val="List Paragraph Char"/>
    <w:aliases w:val="Citation List Char,본문(내용) Char,List Paragraph (numbered (a)) Char,Colorful List - Accent 11 Char,Bullets Char,List Bulet Char,List Paragraph 1 Char,List Paragraph1 Char,List_Paragraph Char,Multilevel para_II Char,Normal List Char"/>
    <w:basedOn w:val="DefaultParagraphFont"/>
    <w:link w:val="ListParagraph"/>
    <w:qFormat/>
    <w:locked/>
    <w:rsid w:val="00DF24EC"/>
    <w:rPr>
      <w:sz w:val="20"/>
      <w:szCs w:val="24"/>
    </w:rPr>
  </w:style>
  <w:style w:type="table" w:styleId="TableGrid">
    <w:name w:val="Table Grid"/>
    <w:basedOn w:val="TableNormal"/>
    <w:uiPriority w:val="59"/>
    <w:rsid w:val="00DF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DF24EC"/>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F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EC"/>
  </w:style>
  <w:style w:type="paragraph" w:styleId="NoSpacing">
    <w:name w:val="No Spacing"/>
    <w:link w:val="NoSpacingChar"/>
    <w:uiPriority w:val="1"/>
    <w:qFormat/>
    <w:rsid w:val="00DF24EC"/>
    <w:pPr>
      <w:spacing w:after="0" w:line="240" w:lineRule="auto"/>
    </w:pPr>
    <w:rPr>
      <w:rFonts w:eastAsiaTheme="minorEastAsia"/>
    </w:rPr>
  </w:style>
  <w:style w:type="character" w:customStyle="1" w:styleId="NoSpacingChar">
    <w:name w:val="No Spacing Char"/>
    <w:basedOn w:val="DefaultParagraphFont"/>
    <w:link w:val="NoSpacing"/>
    <w:uiPriority w:val="1"/>
    <w:rsid w:val="00DF24EC"/>
    <w:rPr>
      <w:rFonts w:eastAsiaTheme="minorEastAsia"/>
    </w:rPr>
  </w:style>
  <w:style w:type="paragraph" w:styleId="Header">
    <w:name w:val="header"/>
    <w:basedOn w:val="Normal"/>
    <w:link w:val="HeaderChar"/>
    <w:uiPriority w:val="99"/>
    <w:unhideWhenUsed/>
    <w:rsid w:val="00DF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EC"/>
  </w:style>
  <w:style w:type="paragraph" w:styleId="TOCHeading">
    <w:name w:val="TOC Heading"/>
    <w:basedOn w:val="Heading1"/>
    <w:next w:val="Normal"/>
    <w:uiPriority w:val="39"/>
    <w:unhideWhenUsed/>
    <w:qFormat/>
    <w:rsid w:val="00DF24EC"/>
    <w:pPr>
      <w:widowControl/>
      <w:autoSpaceDE/>
      <w:autoSpaceDN/>
      <w:spacing w:before="480" w:line="276" w:lineRule="auto"/>
      <w:outlineLvl w:val="9"/>
    </w:pPr>
    <w:rPr>
      <w:b/>
      <w:bCs/>
      <w:sz w:val="28"/>
      <w:szCs w:val="28"/>
    </w:rPr>
  </w:style>
  <w:style w:type="paragraph" w:styleId="TOC1">
    <w:name w:val="toc 1"/>
    <w:basedOn w:val="Normal"/>
    <w:next w:val="Normal"/>
    <w:autoRedefine/>
    <w:uiPriority w:val="39"/>
    <w:unhideWhenUsed/>
    <w:rsid w:val="00DF24EC"/>
    <w:pPr>
      <w:spacing w:after="100"/>
    </w:pPr>
  </w:style>
  <w:style w:type="paragraph" w:styleId="TOC2">
    <w:name w:val="toc 2"/>
    <w:basedOn w:val="Normal"/>
    <w:next w:val="Normal"/>
    <w:autoRedefine/>
    <w:uiPriority w:val="39"/>
    <w:unhideWhenUsed/>
    <w:rsid w:val="00DF24EC"/>
    <w:pPr>
      <w:spacing w:after="100"/>
      <w:ind w:left="220"/>
    </w:pPr>
  </w:style>
  <w:style w:type="character" w:styleId="Hyperlink">
    <w:name w:val="Hyperlink"/>
    <w:basedOn w:val="DefaultParagraphFont"/>
    <w:uiPriority w:val="99"/>
    <w:unhideWhenUsed/>
    <w:rsid w:val="00DF24EC"/>
    <w:rPr>
      <w:color w:val="0000FF" w:themeColor="hyperlink"/>
      <w:u w:val="single"/>
    </w:rPr>
  </w:style>
  <w:style w:type="character" w:customStyle="1" w:styleId="DefaultChar">
    <w:name w:val="Default Char"/>
    <w:basedOn w:val="DefaultParagraphFont"/>
    <w:link w:val="Default"/>
    <w:locked/>
    <w:rsid w:val="00DF24EC"/>
    <w:rPr>
      <w:rFonts w:ascii="Calibri" w:hAnsi="Calibri" w:cs="Calibri"/>
      <w:color w:val="000000"/>
      <w:sz w:val="24"/>
      <w:szCs w:val="24"/>
    </w:rPr>
  </w:style>
  <w:style w:type="paragraph" w:styleId="BalloonText">
    <w:name w:val="Balloon Text"/>
    <w:basedOn w:val="Normal"/>
    <w:link w:val="BalloonTextChar"/>
    <w:uiPriority w:val="99"/>
    <w:semiHidden/>
    <w:unhideWhenUsed/>
    <w:rsid w:val="00DF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EC"/>
    <w:rPr>
      <w:rFonts w:ascii="Tahoma" w:hAnsi="Tahoma" w:cs="Tahoma"/>
      <w:sz w:val="16"/>
      <w:szCs w:val="16"/>
    </w:rPr>
  </w:style>
  <w:style w:type="character" w:styleId="CommentReference">
    <w:name w:val="annotation reference"/>
    <w:basedOn w:val="DefaultParagraphFont"/>
    <w:uiPriority w:val="99"/>
    <w:semiHidden/>
    <w:unhideWhenUsed/>
    <w:rsid w:val="008B7D95"/>
    <w:rPr>
      <w:sz w:val="16"/>
      <w:szCs w:val="16"/>
    </w:rPr>
  </w:style>
  <w:style w:type="paragraph" w:styleId="CommentText">
    <w:name w:val="annotation text"/>
    <w:basedOn w:val="Normal"/>
    <w:link w:val="CommentTextChar"/>
    <w:uiPriority w:val="99"/>
    <w:unhideWhenUsed/>
    <w:rsid w:val="008B7D95"/>
    <w:pPr>
      <w:spacing w:line="240" w:lineRule="auto"/>
    </w:pPr>
    <w:rPr>
      <w:sz w:val="20"/>
      <w:szCs w:val="20"/>
    </w:rPr>
  </w:style>
  <w:style w:type="character" w:customStyle="1" w:styleId="CommentTextChar">
    <w:name w:val="Comment Text Char"/>
    <w:basedOn w:val="DefaultParagraphFont"/>
    <w:link w:val="CommentText"/>
    <w:uiPriority w:val="99"/>
    <w:rsid w:val="008B7D95"/>
    <w:rPr>
      <w:sz w:val="20"/>
      <w:szCs w:val="20"/>
    </w:rPr>
  </w:style>
  <w:style w:type="paragraph" w:styleId="CommentSubject">
    <w:name w:val="annotation subject"/>
    <w:basedOn w:val="CommentText"/>
    <w:next w:val="CommentText"/>
    <w:link w:val="CommentSubjectChar"/>
    <w:uiPriority w:val="99"/>
    <w:semiHidden/>
    <w:unhideWhenUsed/>
    <w:rsid w:val="008B7D95"/>
    <w:rPr>
      <w:b/>
      <w:bCs/>
    </w:rPr>
  </w:style>
  <w:style w:type="character" w:customStyle="1" w:styleId="CommentSubjectChar">
    <w:name w:val="Comment Subject Char"/>
    <w:basedOn w:val="CommentTextChar"/>
    <w:link w:val="CommentSubject"/>
    <w:uiPriority w:val="99"/>
    <w:semiHidden/>
    <w:rsid w:val="008B7D95"/>
    <w:rPr>
      <w:b/>
      <w:bCs/>
      <w:sz w:val="20"/>
      <w:szCs w:val="20"/>
    </w:rPr>
  </w:style>
  <w:style w:type="paragraph" w:styleId="Revision">
    <w:name w:val="Revision"/>
    <w:hidden/>
    <w:uiPriority w:val="99"/>
    <w:semiHidden/>
    <w:rsid w:val="00E46AD6"/>
    <w:pPr>
      <w:spacing w:after="0" w:line="240" w:lineRule="auto"/>
    </w:pPr>
  </w:style>
  <w:style w:type="character" w:styleId="FootnoteReference">
    <w:name w:val="footnote reference"/>
    <w:basedOn w:val="DefaultParagraphFont"/>
    <w:uiPriority w:val="99"/>
    <w:semiHidden/>
    <w:unhideWhenUsed/>
    <w:rsid w:val="006E0728"/>
    <w:rPr>
      <w:vertAlign w:val="superscript"/>
    </w:rPr>
  </w:style>
  <w:style w:type="table" w:customStyle="1" w:styleId="Style1">
    <w:name w:val="Style1"/>
    <w:basedOn w:val="TableNormal"/>
    <w:uiPriority w:val="99"/>
    <w:rsid w:val="008836D8"/>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4EC"/>
    <w:pPr>
      <w:spacing w:after="160" w:line="259" w:lineRule="auto"/>
    </w:pPr>
  </w:style>
  <w:style w:type="paragraph" w:styleId="Heading1">
    <w:name w:val="heading 1"/>
    <w:basedOn w:val="Normal"/>
    <w:next w:val="Normal"/>
    <w:link w:val="Heading1Char"/>
    <w:uiPriority w:val="9"/>
    <w:qFormat/>
    <w:rsid w:val="00DF24EC"/>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2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4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F24EC"/>
    <w:rPr>
      <w:rFonts w:asciiTheme="majorHAnsi" w:eastAsiaTheme="majorEastAsia" w:hAnsiTheme="majorHAnsi" w:cstheme="majorBidi"/>
      <w:color w:val="365F91" w:themeColor="accent1" w:themeShade="BF"/>
      <w:sz w:val="26"/>
      <w:szCs w:val="26"/>
    </w:rPr>
  </w:style>
  <w:style w:type="paragraph" w:styleId="FootnoteText">
    <w:name w:val="footnote text"/>
    <w:aliases w:val="FOOTNOTES,Footnote Text Char Char Char Char,Footnote Text Char Char Char1,Footnote Text Char Char1 Char,Footnote Text Char Char2,Footnote Text Char1 Char Char,Footnote Text Char1 Char1,Footnote Text Char2,f,fn,footnote text,ft,single space"/>
    <w:basedOn w:val="Normal"/>
    <w:link w:val="FootnoteTextChar"/>
    <w:unhideWhenUsed/>
    <w:qFormat/>
    <w:rsid w:val="00DF24EC"/>
    <w:pPr>
      <w:spacing w:after="0" w:line="240" w:lineRule="auto"/>
    </w:pPr>
    <w:rPr>
      <w:sz w:val="18"/>
      <w:szCs w:val="20"/>
    </w:rPr>
  </w:style>
  <w:style w:type="character" w:customStyle="1" w:styleId="FootnoteTextChar">
    <w:name w:val="Footnote Text Char"/>
    <w:aliases w:val="FOOTNOTES Char,Footnote Text Char Char Char Char Char,Footnote Text Char Char Char1 Char,Footnote Text Char Char1 Char Char,Footnote Text Char Char2 Char,Footnote Text Char1 Char Char Char,Footnote Text Char1 Char1 Char,f Char,fn Char"/>
    <w:basedOn w:val="DefaultParagraphFont"/>
    <w:link w:val="FootnoteText"/>
    <w:rsid w:val="00DF24EC"/>
    <w:rPr>
      <w:sz w:val="18"/>
      <w:szCs w:val="20"/>
    </w:rPr>
  </w:style>
  <w:style w:type="paragraph" w:styleId="ListParagraph">
    <w:name w:val="List Paragraph"/>
    <w:aliases w:val="Citation List,본문(내용),List Paragraph (numbered (a)),Colorful List - Accent 11,Bullets,List Bulet,List Paragraph 1,List Paragraph1,List_Paragraph,Multilevel para_II,NUMBERED PARAGRAPH,Normal List,Numbered List Paragraph,References,lp1"/>
    <w:basedOn w:val="Normal"/>
    <w:link w:val="ListParagraphChar"/>
    <w:qFormat/>
    <w:rsid w:val="00DF24EC"/>
    <w:pPr>
      <w:spacing w:after="0" w:line="240" w:lineRule="auto"/>
      <w:ind w:left="720"/>
      <w:contextualSpacing/>
    </w:pPr>
    <w:rPr>
      <w:sz w:val="20"/>
      <w:szCs w:val="24"/>
    </w:rPr>
  </w:style>
  <w:style w:type="character" w:customStyle="1" w:styleId="ListParagraphChar">
    <w:name w:val="List Paragraph Char"/>
    <w:aliases w:val="Citation List Char,본문(내용) Char,List Paragraph (numbered (a)) Char,Colorful List - Accent 11 Char,Bullets Char,List Bulet Char,List Paragraph 1 Char,List Paragraph1 Char,List_Paragraph Char,Multilevel para_II Char,Normal List Char"/>
    <w:basedOn w:val="DefaultParagraphFont"/>
    <w:link w:val="ListParagraph"/>
    <w:qFormat/>
    <w:locked/>
    <w:rsid w:val="00DF24EC"/>
    <w:rPr>
      <w:sz w:val="20"/>
      <w:szCs w:val="24"/>
    </w:rPr>
  </w:style>
  <w:style w:type="table" w:styleId="TableGrid">
    <w:name w:val="Table Grid"/>
    <w:basedOn w:val="TableNormal"/>
    <w:uiPriority w:val="59"/>
    <w:rsid w:val="00DF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DF24EC"/>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DF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4EC"/>
  </w:style>
  <w:style w:type="paragraph" w:styleId="NoSpacing">
    <w:name w:val="No Spacing"/>
    <w:link w:val="NoSpacingChar"/>
    <w:uiPriority w:val="1"/>
    <w:qFormat/>
    <w:rsid w:val="00DF24EC"/>
    <w:pPr>
      <w:spacing w:after="0" w:line="240" w:lineRule="auto"/>
    </w:pPr>
    <w:rPr>
      <w:rFonts w:eastAsiaTheme="minorEastAsia"/>
    </w:rPr>
  </w:style>
  <w:style w:type="character" w:customStyle="1" w:styleId="NoSpacingChar">
    <w:name w:val="No Spacing Char"/>
    <w:basedOn w:val="DefaultParagraphFont"/>
    <w:link w:val="NoSpacing"/>
    <w:uiPriority w:val="1"/>
    <w:rsid w:val="00DF24EC"/>
    <w:rPr>
      <w:rFonts w:eastAsiaTheme="minorEastAsia"/>
    </w:rPr>
  </w:style>
  <w:style w:type="paragraph" w:styleId="Header">
    <w:name w:val="header"/>
    <w:basedOn w:val="Normal"/>
    <w:link w:val="HeaderChar"/>
    <w:uiPriority w:val="99"/>
    <w:unhideWhenUsed/>
    <w:rsid w:val="00DF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4EC"/>
  </w:style>
  <w:style w:type="paragraph" w:styleId="TOCHeading">
    <w:name w:val="TOC Heading"/>
    <w:basedOn w:val="Heading1"/>
    <w:next w:val="Normal"/>
    <w:uiPriority w:val="39"/>
    <w:unhideWhenUsed/>
    <w:qFormat/>
    <w:rsid w:val="00DF24EC"/>
    <w:pPr>
      <w:widowControl/>
      <w:autoSpaceDE/>
      <w:autoSpaceDN/>
      <w:spacing w:before="480" w:line="276" w:lineRule="auto"/>
      <w:outlineLvl w:val="9"/>
    </w:pPr>
    <w:rPr>
      <w:b/>
      <w:bCs/>
      <w:sz w:val="28"/>
      <w:szCs w:val="28"/>
    </w:rPr>
  </w:style>
  <w:style w:type="paragraph" w:styleId="TOC1">
    <w:name w:val="toc 1"/>
    <w:basedOn w:val="Normal"/>
    <w:next w:val="Normal"/>
    <w:autoRedefine/>
    <w:uiPriority w:val="39"/>
    <w:unhideWhenUsed/>
    <w:rsid w:val="00DF24EC"/>
    <w:pPr>
      <w:spacing w:after="100"/>
    </w:pPr>
  </w:style>
  <w:style w:type="paragraph" w:styleId="TOC2">
    <w:name w:val="toc 2"/>
    <w:basedOn w:val="Normal"/>
    <w:next w:val="Normal"/>
    <w:autoRedefine/>
    <w:uiPriority w:val="39"/>
    <w:unhideWhenUsed/>
    <w:rsid w:val="00DF24EC"/>
    <w:pPr>
      <w:spacing w:after="100"/>
      <w:ind w:left="220"/>
    </w:pPr>
  </w:style>
  <w:style w:type="character" w:styleId="Hyperlink">
    <w:name w:val="Hyperlink"/>
    <w:basedOn w:val="DefaultParagraphFont"/>
    <w:uiPriority w:val="99"/>
    <w:unhideWhenUsed/>
    <w:rsid w:val="00DF24EC"/>
    <w:rPr>
      <w:color w:val="0000FF" w:themeColor="hyperlink"/>
      <w:u w:val="single"/>
    </w:rPr>
  </w:style>
  <w:style w:type="character" w:customStyle="1" w:styleId="DefaultChar">
    <w:name w:val="Default Char"/>
    <w:basedOn w:val="DefaultParagraphFont"/>
    <w:link w:val="Default"/>
    <w:locked/>
    <w:rsid w:val="00DF24EC"/>
    <w:rPr>
      <w:rFonts w:ascii="Calibri" w:hAnsi="Calibri" w:cs="Calibri"/>
      <w:color w:val="000000"/>
      <w:sz w:val="24"/>
      <w:szCs w:val="24"/>
    </w:rPr>
  </w:style>
  <w:style w:type="paragraph" w:styleId="BalloonText">
    <w:name w:val="Balloon Text"/>
    <w:basedOn w:val="Normal"/>
    <w:link w:val="BalloonTextChar"/>
    <w:uiPriority w:val="99"/>
    <w:semiHidden/>
    <w:unhideWhenUsed/>
    <w:rsid w:val="00DF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EC"/>
    <w:rPr>
      <w:rFonts w:ascii="Tahoma" w:hAnsi="Tahoma" w:cs="Tahoma"/>
      <w:sz w:val="16"/>
      <w:szCs w:val="16"/>
    </w:rPr>
  </w:style>
  <w:style w:type="character" w:styleId="CommentReference">
    <w:name w:val="annotation reference"/>
    <w:basedOn w:val="DefaultParagraphFont"/>
    <w:uiPriority w:val="99"/>
    <w:semiHidden/>
    <w:unhideWhenUsed/>
    <w:rsid w:val="008B7D95"/>
    <w:rPr>
      <w:sz w:val="16"/>
      <w:szCs w:val="16"/>
    </w:rPr>
  </w:style>
  <w:style w:type="paragraph" w:styleId="CommentText">
    <w:name w:val="annotation text"/>
    <w:basedOn w:val="Normal"/>
    <w:link w:val="CommentTextChar"/>
    <w:uiPriority w:val="99"/>
    <w:unhideWhenUsed/>
    <w:rsid w:val="008B7D95"/>
    <w:pPr>
      <w:spacing w:line="240" w:lineRule="auto"/>
    </w:pPr>
    <w:rPr>
      <w:sz w:val="20"/>
      <w:szCs w:val="20"/>
    </w:rPr>
  </w:style>
  <w:style w:type="character" w:customStyle="1" w:styleId="CommentTextChar">
    <w:name w:val="Comment Text Char"/>
    <w:basedOn w:val="DefaultParagraphFont"/>
    <w:link w:val="CommentText"/>
    <w:uiPriority w:val="99"/>
    <w:rsid w:val="008B7D95"/>
    <w:rPr>
      <w:sz w:val="20"/>
      <w:szCs w:val="20"/>
    </w:rPr>
  </w:style>
  <w:style w:type="paragraph" w:styleId="CommentSubject">
    <w:name w:val="annotation subject"/>
    <w:basedOn w:val="CommentText"/>
    <w:next w:val="CommentText"/>
    <w:link w:val="CommentSubjectChar"/>
    <w:uiPriority w:val="99"/>
    <w:semiHidden/>
    <w:unhideWhenUsed/>
    <w:rsid w:val="008B7D95"/>
    <w:rPr>
      <w:b/>
      <w:bCs/>
    </w:rPr>
  </w:style>
  <w:style w:type="character" w:customStyle="1" w:styleId="CommentSubjectChar">
    <w:name w:val="Comment Subject Char"/>
    <w:basedOn w:val="CommentTextChar"/>
    <w:link w:val="CommentSubject"/>
    <w:uiPriority w:val="99"/>
    <w:semiHidden/>
    <w:rsid w:val="008B7D95"/>
    <w:rPr>
      <w:b/>
      <w:bCs/>
      <w:sz w:val="20"/>
      <w:szCs w:val="20"/>
    </w:rPr>
  </w:style>
  <w:style w:type="paragraph" w:styleId="Revision">
    <w:name w:val="Revision"/>
    <w:hidden/>
    <w:uiPriority w:val="99"/>
    <w:semiHidden/>
    <w:rsid w:val="00E46AD6"/>
    <w:pPr>
      <w:spacing w:after="0" w:line="240" w:lineRule="auto"/>
    </w:pPr>
  </w:style>
  <w:style w:type="character" w:styleId="FootnoteReference">
    <w:name w:val="footnote reference"/>
    <w:basedOn w:val="DefaultParagraphFont"/>
    <w:uiPriority w:val="99"/>
    <w:semiHidden/>
    <w:unhideWhenUsed/>
    <w:rsid w:val="006E0728"/>
    <w:rPr>
      <w:vertAlign w:val="superscript"/>
    </w:rPr>
  </w:style>
  <w:style w:type="table" w:customStyle="1" w:styleId="Style1">
    <w:name w:val="Style1"/>
    <w:basedOn w:val="TableNormal"/>
    <w:uiPriority w:val="99"/>
    <w:rsid w:val="008836D8"/>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A935E1B49B4302B7ACDDEDE525CEFF"/>
        <w:category>
          <w:name w:val="General"/>
          <w:gallery w:val="placeholder"/>
        </w:category>
        <w:types>
          <w:type w:val="bbPlcHdr"/>
        </w:types>
        <w:behaviors>
          <w:behavior w:val="content"/>
        </w:behaviors>
        <w:guid w:val="{660D5BB0-0D87-4CBC-BA81-1896F947A355}"/>
      </w:docPartPr>
      <w:docPartBody>
        <w:p w:rsidR="007B48FD" w:rsidRDefault="0007436A" w:rsidP="0007436A">
          <w:pPr>
            <w:pStyle w:val="BEA935E1B49B4302B7ACDDEDE525CEFF"/>
          </w:pPr>
          <w:r>
            <w:rPr>
              <w:color w:val="4F81BD"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7436A"/>
    <w:rsid w:val="00005C6D"/>
    <w:rsid w:val="0007436A"/>
    <w:rsid w:val="00096FEF"/>
    <w:rsid w:val="000E7C44"/>
    <w:rsid w:val="0026478A"/>
    <w:rsid w:val="00340446"/>
    <w:rsid w:val="003A7437"/>
    <w:rsid w:val="003B7C01"/>
    <w:rsid w:val="004D5680"/>
    <w:rsid w:val="0056652B"/>
    <w:rsid w:val="00634A27"/>
    <w:rsid w:val="007405CD"/>
    <w:rsid w:val="007B48FD"/>
    <w:rsid w:val="0086067F"/>
    <w:rsid w:val="009654B1"/>
    <w:rsid w:val="009C4DEC"/>
    <w:rsid w:val="009F26F0"/>
    <w:rsid w:val="009F307A"/>
    <w:rsid w:val="00A71EB4"/>
    <w:rsid w:val="00AA3150"/>
    <w:rsid w:val="00AE2080"/>
    <w:rsid w:val="00B11F74"/>
    <w:rsid w:val="00B37F0B"/>
    <w:rsid w:val="00C16433"/>
    <w:rsid w:val="00C23564"/>
    <w:rsid w:val="00CD112B"/>
    <w:rsid w:val="00D048B8"/>
    <w:rsid w:val="00D27BF4"/>
    <w:rsid w:val="00D3465A"/>
    <w:rsid w:val="00DF1E76"/>
    <w:rsid w:val="00E13CC5"/>
    <w:rsid w:val="00E5155E"/>
    <w:rsid w:val="00F03E5F"/>
    <w:rsid w:val="00F7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A935E1B49B4302B7ACDDEDE525CEFF">
    <w:name w:val="BEA935E1B49B4302B7ACDDEDE525CEFF"/>
    <w:rsid w:val="0007436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313A51A90A34B8A83625CFE44B826" ma:contentTypeVersion="12" ma:contentTypeDescription="Create a new document." ma:contentTypeScope="" ma:versionID="458e0a79abaabaeefa73349f8882c21c">
  <xsd:schema xmlns:xsd="http://www.w3.org/2001/XMLSchema" xmlns:xs="http://www.w3.org/2001/XMLSchema" xmlns:p="http://schemas.microsoft.com/office/2006/metadata/properties" xmlns:ns3="41174077-61e3-4844-8d50-ec243e315886" xmlns:ns4="02b7c6ea-f0ea-439d-95a5-7e99cdcf1f18" targetNamespace="http://schemas.microsoft.com/office/2006/metadata/properties" ma:root="true" ma:fieldsID="28a4ba624bdd0e56acba9f399c2afbf2" ns3:_="" ns4:_="">
    <xsd:import namespace="41174077-61e3-4844-8d50-ec243e315886"/>
    <xsd:import namespace="02b7c6ea-f0ea-439d-95a5-7e99cdcf1f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74077-61e3-4844-8d50-ec243e315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7c6ea-f0ea-439d-95a5-7e99cdcf1f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8FAD76-9117-4816-AAA2-F226FD9FF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74077-61e3-4844-8d50-ec243e315886"/>
    <ds:schemaRef ds:uri="02b7c6ea-f0ea-439d-95a5-7e99cdcf1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59047-2A9D-4F00-8FD7-716B0634FFE6}">
  <ds:schemaRefs>
    <ds:schemaRef ds:uri="http://schemas.microsoft.com/sharepoint/v3/contenttype/forms"/>
  </ds:schemaRefs>
</ds:datastoreItem>
</file>

<file path=customXml/itemProps4.xml><?xml version="1.0" encoding="utf-8"?>
<ds:datastoreItem xmlns:ds="http://schemas.openxmlformats.org/officeDocument/2006/customXml" ds:itemID="{B631AD81-8279-4D0B-AD4F-71F5ED8D21E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DB3D4B-C007-4BD8-B81D-5A80C8D0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3897</Words>
  <Characters>22213</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Introduction and Context</vt:lpstr>
      <vt:lpstr>    1.1. Background</vt:lpstr>
      <vt:lpstr>    1.2. Description of the Project</vt:lpstr>
      <vt:lpstr>2. Addressing Gender Based Violence (GBV) and Sexual Exploitation and Abuse (SEA</vt:lpstr>
      <vt:lpstr>    </vt:lpstr>
      <vt:lpstr>3. GBV Risk Mitigation, Prevention and Response for Ethiopia Locust Response Pro</vt:lpstr>
      <vt:lpstr>4. Operationalization of this SEA/SH Prevention and Response Plan: Project Annua</vt:lpstr>
      <vt:lpstr>5.  Detailed Action Plan for the Program: Ethiopia Desert Locust Response Projec</vt:lpstr>
    </vt:vector>
  </TitlesOfParts>
  <Company>Ministry of Agriculture</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SEXUAL EXPLOITATION AND ABUSE (SEA)/SEXUAL HARASSMENT (SH) PREVENTION AND RESPONSE PLAN</dc:subject>
  <dc:creator>Tamirat T.</dc:creator>
  <cp:lastModifiedBy>Win 10</cp:lastModifiedBy>
  <cp:revision>2</cp:revision>
  <cp:lastPrinted>2020-11-11T12:50:00Z</cp:lastPrinted>
  <dcterms:created xsi:type="dcterms:W3CDTF">2022-06-02T12:35:00Z</dcterms:created>
  <dcterms:modified xsi:type="dcterms:W3CDTF">2022-06-02T12:35:00Z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0x010100948313A51A90A34B8A83625CFE44B826</vt:lpwstr>
  </property>
</Properties>
</file>